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Entering the German mid-market can add €40M revenue by 2028</w:t>
      </w:r>
    </w:p>
    <w:p>
      <w:pPr>
        <w:pStyle w:val="Source"/>
      </w:pPr>
      <w:r>
        <w:t xml:space="preserve">Strategy team</w:t>
      </w:r>
    </w:p>
    <w:p>
      <w:pPr>
        <w:pStyle w:val="Tracker"/>
      </w:pPr>
      <w:r>
        <w:t xml:space="preserve">EXECUTIVE SUMMARY</w:t>
      </w:r>
    </w:p>
    <w:p>
      <w:pPr>
        <w:pStyle w:val="Heading1"/>
      </w:pPr>
      <w:r>
        <w:t xml:space="preserve">Entering Germany now captures a €40M window before two rivals scale</w:t>
      </w:r>
    </w:p>
    <w:p>
      <w:pPr>
        <w:pStyle w:val="BodyText"/>
      </w:pPr>
      <w:r>
        <w:rPr>
          <w:b/>
        </w:rPr>
        <w:t xml:space="preserve">Decision requested:</w:t>
      </w:r>
      <w:r>
        <w:t xml:space="preserve"> Approve a €6M phase-1 budget and the partner shortlist at this meeting</w:t>
      </w:r>
    </w:p>
    <w:p>
      <w:pPr>
        <w:pStyle w:val="Tracker"/>
      </w:pPr>
      <w:r>
        <w:t xml:space="preserve">SITUATION</w:t>
      </w:r>
    </w:p>
    <w:p>
      <w:pPr>
        <w:pStyle w:val="BodyText"/>
      </w:pPr>
      <w:r>
        <w:t xml:space="preserve">Our UK mid-market business grew 18% a year since 2022 and now funds itself; the product is proven in a regulated market.</w:t>
      </w:r>
    </w:p>
    <w:p>
      <w:pPr>
        <w:pStyle w:val="Tracker"/>
      </w:pPr>
      <w:r>
        <w:t xml:space="preserve">COMPLICATION</w:t>
      </w:r>
    </w:p>
    <w:p>
      <w:pPr>
        <w:pStyle w:val="BodyText"/>
      </w:pPr>
      <w:r>
        <w:t xml:space="preserve">Two well-funded competitors are preparing German launches in 2027, and switching costs make early share sticky.</w:t>
      </w:r>
    </w:p>
    <w:p>
      <w:pPr>
        <w:pStyle w:val="Tracker"/>
      </w:pPr>
      <w:r>
        <w:t xml:space="preserve">RESOLUTION</w:t>
      </w:r>
    </w:p>
    <w:p>
      <w:pPr>
        <w:pStyle w:val="BodyText"/>
      </w:pPr>
      <w:r>
        <w:t xml:space="preserve">Enter Germany in 2027 through a partner-led model, scaling direct sales only after 40 reference clients.</w:t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Northwind management accounts FY2025</w:t>
      </w:r>
      <w:r>
        <w:t xml:space="preserve">; </w:t>
      </w:r>
      <w:r>
        <w:t xml:space="preserve">Strategy team market model, Oct 2026</w:t>
      </w:r>
    </w:p>
    <w:p>
      <w:pPr>
        <w:pStyle w:val="Notes"/>
      </w:pPr>
      <w:r>
        <w:t xml:space="preserve">If the board reads only this page, it can make the decision.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Northwind management accounts FY2025 — illustrative data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Tracker"/>
      </w:pPr>
      <w:r>
        <w:t xml:space="preserve">WHY CHANGE</w:t>
      </w:r>
    </w:p>
    <w:p>
      <w:pPr>
        <w:pStyle w:val="Heading1"/>
      </w:pPr>
      <w:r>
        <w:t xml:space="preserve">The UK business is profitable, growing and ready to fund a second market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The UK business is profitable, growing and ready to fund a second marke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The UK business is profitable, growing and ready to fund a second marke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Northwind management accounts FY2025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Northwind management accounts FY2025 — illustrative data</w:t>
      </w:r>
    </w:p>
    <w:p>
      <w:pPr>
        <w:pStyle w:val="Tracker"/>
      </w:pPr>
      <w:r>
        <w:t xml:space="preserve">WHY CHANGE</w:t>
      </w:r>
    </w:p>
    <w:p>
      <w:pPr>
        <w:pStyle w:val="Heading1"/>
      </w:pPr>
      <w:r>
        <w:t xml:space="preserve">The German mid-market is three times our UK base and still under-served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The German mid-market is three times our UK base and still under-serv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The German mid-market is three times our UK base and still under-serv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Tracker"/>
      </w:pPr>
      <w:r>
        <w:t xml:space="preserve">THE RECOMMENDATION</w:t>
      </w:r>
    </w:p>
    <w:p>
      <w:pPr>
        <w:pStyle w:val="Heading1"/>
      </w:pPr>
      <w:r>
        <w:t xml:space="preserve">A partner-led entry beats direct build and acquisition on speed and risk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A partner-led entry beats direct build and acquisition on speed and ris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A partner-led entry beats direct build and acquisition on speed and risk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  <w:r>
        <w:t xml:space="preserve">; </w:t>
      </w:r>
      <w:r>
        <w:t xml:space="preserve">Four comparable SaaS entries into Germany, 2019–2025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Notes"/>
      </w:pPr>
      <w:r>
        <w:t xml:space="preserve">- Four comparable SaaS entries into Germany, 2019–2025 — illustrative data</w:t>
      </w:r>
    </w:p>
    <w:p>
      <w:pPr>
        <w:pStyle w:val="Tracker"/>
      </w:pPr>
      <w:r>
        <w:t xml:space="preserve">THE RECOMMENDATION</w:t>
      </w:r>
    </w:p>
    <w:p>
      <w:pPr>
        <w:pStyle w:val="Heading1"/>
      </w:pPr>
      <w:r>
        <w:t xml:space="preserve">Partners cut time to first revenue from 18 to 7 months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Partners cut time to first revenue from 18 to 7 month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Partners cut time to first revenue from 18 to 7 month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Four comparable SaaS entries into Germany, 2019–2025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Four comparable SaaS entries into Germany, 2019–2025 — illustrative data</w:t>
      </w:r>
    </w:p>
    <w:p>
      <w:pPr>
        <w:pStyle w:val="Tracker"/>
      </w:pPr>
      <w:r>
        <w:t xml:space="preserve">THE RECOMMENDATION</w:t>
      </w:r>
    </w:p>
    <w:p>
      <w:pPr>
        <w:pStyle w:val="Heading1"/>
      </w:pPr>
      <w:r>
        <w:t xml:space="preserve">Germany adds €40M by 2028 on top of a growing UK base</w:t>
      </w:r>
    </w:p>
    <w:p>
      <w:pPr>
        <w:pStyle w:val="Figure"/>
      </w:pPr>
      <w:r>
        <w:drawing>
          <wp:inline distT="0" distB="0" distL="0" distR="0">
            <wp:extent cx="5760720" cy="3240486"/>
            <wp:docPr id="5" name="Slide 5" descr="Germany adds €40M by 2028 on top of a growing UK bas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slide5.png" descr="Germany adds €40M by 2028 on top of a growing UK ba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Tracker"/>
      </w:pPr>
      <w:r>
        <w:t xml:space="preserve">HOW WE GET THERE</w:t>
      </w:r>
    </w:p>
    <w:p>
      <w:pPr>
        <w:pStyle w:val="Heading1"/>
      </w:pPr>
      <w:r>
        <w:t xml:space="preserve">Localisation is the critical path; direct sales scale only after Gate 2</w:t>
      </w:r>
    </w:p>
    <w:p>
      <w:pPr>
        <w:pStyle w:val="Figure"/>
      </w:pPr>
      <w:r>
        <w:drawing>
          <wp:inline distT="0" distB="0" distL="0" distR="0">
            <wp:extent cx="5760720" cy="3240486"/>
            <wp:docPr id="6" name="Slide 6" descr="Localisation is the critical path; direct sales scale only after Gat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slide6.png" descr="Localisation is the critical path; direct sales scale only after Gate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Tracker"/>
      </w:pPr>
      <w:r>
        <w:t xml:space="preserve">HOW WE GET THERE</w:t>
      </w:r>
    </w:p>
    <w:p>
      <w:pPr>
        <w:pStyle w:val="Heading1"/>
      </w:pPr>
      <w:r>
        <w:t xml:space="preserve">Three risks matter most, and each has an owner and an early signal</w:t>
      </w:r>
    </w:p>
    <w:tbl>
      <w:tblPr>
        <w:tblW w:w="9072" w:type="dxa"/>
        <w:tblBorders>
          <w:top w:val="single" w:sz="4" w:space="0" w:color="C9D2DE"/>
          <w:bottom w:val="single" w:sz="4" w:space="0" w:color="C9D2DE"/>
          <w:insideH w:val="single" w:sz="4" w:space="0" w:color="C9D2DE"/>
        </w:tblBorders>
        <w:tblCellMar>
          <w:top w:w="60" w:type="dxa"/>
          <w:bottom w:w="60" w:type="dxa"/>
        </w:tblCellMar>
      </w:tblPr>
      <w:tblGrid>
        <w:gridCol w:w="2503"/>
        <w:gridCol w:w="1043"/>
        <w:gridCol w:w="1043"/>
        <w:gridCol w:w="3337"/>
        <w:gridCol w:w="1147"/>
      </w:tblGrid>
      <w:tr>
        <w:trPr>
          <w:tblHeader/>
        </w:trPr>
        <w:tc>
          <w:tcPr>
            <w:tcW w:w="2503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Risk</w:t>
            </w:r>
          </w:p>
        </w:tc>
        <w:tc>
          <w:tcPr>
            <w:tcW w:w="1043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Likelihood</w:t>
            </w:r>
          </w:p>
        </w:tc>
        <w:tc>
          <w:tcPr>
            <w:tcW w:w="1043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Impact</w:t>
            </w:r>
          </w:p>
        </w:tc>
        <w:tc>
          <w:tcPr>
            <w:tcW w:w="3337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Mitigation</w:t>
            </w:r>
          </w:p>
        </w:tc>
        <w:tc>
          <w:tcPr>
            <w:tcW w:w="1147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2503" w:type="dxa"/>
          </w:tcPr>
          <w:p>
            <w:pPr>
              <w:pStyle w:val="TableText"/>
            </w:pPr>
            <w:r>
              <w:t xml:space="preserve">Partners under-deliver pipeline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Medium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High</w:t>
            </w:r>
          </w:p>
        </w:tc>
        <w:tc>
          <w:tcPr>
            <w:tcW w:w="3337" w:type="dxa"/>
          </w:tcPr>
          <w:p>
            <w:pPr>
              <w:pStyle w:val="TableText"/>
            </w:pPr>
            <w:r>
              <w:t xml:space="preserve">Two partners with quarterly targets and exit clauses</w:t>
            </w:r>
          </w:p>
        </w:tc>
        <w:tc>
          <w:tcPr>
            <w:tcW w:w="1147" w:type="dxa"/>
          </w:tcPr>
          <w:p>
            <w:pPr>
              <w:pStyle w:val="TableText"/>
            </w:pPr>
            <w:r>
              <w:t xml:space="preserve">Strategy</w:t>
            </w:r>
          </w:p>
        </w:tc>
      </w:tr>
      <w:tr>
        <w:tc>
          <w:tcPr>
            <w:tcW w:w="2503" w:type="dxa"/>
          </w:tcPr>
          <w:p>
            <w:pPr>
              <w:pStyle w:val="TableText"/>
            </w:pPr>
            <w:r>
              <w:t xml:space="preserve">Localisation slips past Q2 2027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Medium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High</w:t>
            </w:r>
          </w:p>
        </w:tc>
        <w:tc>
          <w:tcPr>
            <w:tcW w:w="3337" w:type="dxa"/>
          </w:tcPr>
          <w:p>
            <w:pPr>
              <w:pStyle w:val="TableText"/>
            </w:pPr>
            <w:r>
              <w:t xml:space="preserve">Dedicated squad; scope frozen at German UI and hosting</w:t>
            </w:r>
          </w:p>
        </w:tc>
        <w:tc>
          <w:tcPr>
            <w:tcW w:w="1147" w:type="dxa"/>
          </w:tcPr>
          <w:p>
            <w:pPr>
              <w:pStyle w:val="TableText"/>
            </w:pPr>
            <w:r>
              <w:t xml:space="preserve">Product</w:t>
            </w:r>
          </w:p>
        </w:tc>
      </w:tr>
      <w:tr>
        <w:tc>
          <w:tcPr>
            <w:tcW w:w="2503" w:type="dxa"/>
          </w:tcPr>
          <w:p>
            <w:pPr>
              <w:pStyle w:val="TableText"/>
            </w:pPr>
            <w:r>
              <w:t xml:space="preserve">Rivals undercut on price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High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t xml:space="preserve">Medium</w:t>
            </w:r>
          </w:p>
        </w:tc>
        <w:tc>
          <w:tcPr>
            <w:tcW w:w="3337" w:type="dxa"/>
          </w:tcPr>
          <w:p>
            <w:pPr>
              <w:pStyle w:val="TableText"/>
            </w:pPr>
            <w:r>
              <w:t xml:space="preserve">Lead on compliance and service; price floor agreed with CFO</w:t>
            </w:r>
          </w:p>
        </w:tc>
        <w:tc>
          <w:tcPr>
            <w:tcW w:w="1147" w:type="dxa"/>
          </w:tcPr>
          <w:p>
            <w:pPr>
              <w:pStyle w:val="TableText"/>
            </w:pPr>
            <w:r>
              <w:t xml:space="preserve">Sales</w:t>
            </w:r>
          </w:p>
        </w:tc>
      </w:tr>
    </w:tbl>
    <w:p/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Tracker"/>
      </w:pPr>
      <w:r>
        <w:t xml:space="preserve">DECISION</w:t>
      </w:r>
    </w:p>
    <w:p>
      <w:pPr>
        <w:pStyle w:val="Heading1"/>
      </w:pPr>
      <w:r>
        <w:t xml:space="preserve">Decision today: approve phase 1 so partners can be signed by January</w:t>
      </w:r>
    </w:p>
    <w:p>
      <w:pPr>
        <w:pStyle w:val="Tracker"/>
      </w:pPr>
      <w:r>
        <w:t xml:space="preserve">DECISION REQUESTED</w:t>
      </w:r>
    </w:p>
    <w:p>
      <w:pPr>
        <w:pStyle w:val="BodyText"/>
      </w:pPr>
      <w:r>
        <w:t xml:space="preserve">Approve the €6M phase-1 budget and the shortlist of two German partners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Sign letters of intent with the two shortlisted partners</w:t>
      </w:r>
    </w:p>
    <w:p>
      <w:pPr>
        <w:pStyle w:val="BodyText"/>
      </w:pPr>
      <w:r>
        <w:t xml:space="preserve">Strategy · 28 Nov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Stand up the localisation squad and freeze scope</w:t>
      </w:r>
    </w:p>
    <w:p>
      <w:pPr>
        <w:pStyle w:val="BodyText"/>
      </w:pPr>
      <w:r>
        <w:t xml:space="preserve">Product · 5 Dec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Register the German entity and open accounts</w:t>
      </w:r>
    </w:p>
    <w:p>
      <w:pPr>
        <w:pStyle w:val="BodyText"/>
      </w:pPr>
      <w:r>
        <w:t xml:space="preserve">Finance · 19 Dec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First quarterly gate review with the board</w:t>
      </w:r>
    </w:p>
    <w:p>
      <w:pPr>
        <w:pStyle w:val="BodyText"/>
      </w:pPr>
      <w:r>
        <w:t xml:space="preserve">CEO · Mar 2027</w:t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Strategy team market model, Oct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Strategy team market model, Oct 2026 — illustrative data</w:t>
      </w:r>
    </w:p>
    <w:p>
      <w:pPr>
        <w:pStyle w:val="Heading1"/>
      </w:pPr>
      <w:r>
        <w:t xml:space="preserve">Questions and discussion</w:t>
      </w:r>
    </w:p>
    <w:p>
      <w:pPr>
        <w:pStyle w:val="BodyText"/>
      </w:pPr>
      <w:r>
        <w:t xml:space="preserve">Appendix with market model and partner profiles available on request</w:t>
      </w:r>
    </w:p>
    <w:p>
      <w:pPr>
        <w:pStyle w:val="BodyText"/>
      </w:pPr>
      <w:r>
        <w:t xml:space="preserve">strategy@northwind.example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B6B7F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1F5FBF"/>
      <w:sz w:val="16"/>
    </w:rPr>
  </w:style>
  <w:style w:type="paragraph" w:customStyle="1" w:styleId="Lead">
    <w:name w:val="Lead"/>
    <w:basedOn w:val="Normal"/>
    <w:qFormat/>
    <w:pPr/>
    <w:rPr>
      <w:i/>
      <w:color w:val="5B6B7F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B6B7F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D2DE"/>
      </w:pBdr>
      <w:ind w:left="200"/>
    </w:pPr>
    <w:rPr>
      <w:color w:val="5B6B7F"/>
      <w:sz w:val="19"/>
    </w:rPr>
  </w:style>
  <w:style w:type="character" w:styleId="Hyperlink">
    <w:name w:val="Hyperlink"/>
    <w:rPr>
      <w:color w:val="1F5FB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image" Target="media/slide3.png"/><Relationship Id="rId13" Type="http://schemas.openxmlformats.org/officeDocument/2006/relationships/image" Target="media/slide4.png"/><Relationship Id="rId14" Type="http://schemas.openxmlformats.org/officeDocument/2006/relationships/image" Target="media/slide5.png"/><Relationship Id="rId15" Type="http://schemas.openxmlformats.org/officeDocument/2006/relationships/image" Target="media/slide6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Entering the German mid-market can add €40M revenue by 2028</dc:title>
  <dc:creator>Strategy team</dc:creator>
  <dc:language>en</dc:language>
  <dcterms:created xsi:type="dcterms:W3CDTF">2026-01-01T00:00:00Z</dcterms:created>
  <dcterms:modified xsi:type="dcterms:W3CDTF">2026-01-01T00:00:00Z</dcterms:modified>
</cp:coreProperties>
</file>