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Shared vocabulary turns AI ambition into sound project choices</w:t>
      </w:r>
    </w:p>
    <w:p>
      <w:pPr>
        <w:pStyle w:val="Tracker"/>
      </w:pPr>
      <w:r>
        <w:t xml:space="preserve">THE WHOLE SYSTEM</w:t>
      </w:r>
    </w:p>
    <w:p>
      <w:pPr>
        <w:pStyle w:val="Heading1"/>
      </w:pPr>
      <w:r>
        <w:t xml:space="preserve">A successful AI project designs the full system, not only the model</w:t>
      </w:r>
    </w:p>
    <w:p>
      <w:pPr>
        <w:pStyle w:val="BodyText"/>
      </w:pPr>
      <w:r>
        <w:rPr>
          <w:b/>
        </w:rPr>
        <w:t xml:space="preserve">Decision requested:</w:t>
      </w:r>
      <w:r>
        <w:t xml:space="preserve"> Use this vocabulary to frame scope, owners, evidence, and trade-offs before selecting a solution.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Model capability</w:t>
      </w:r>
    </w:p>
    <w:p>
      <w:pPr>
        <w:pStyle w:val="BodyText"/>
      </w:pPr>
      <w:r>
        <w:t xml:space="preserve">Select a model and define what it can see in each interaction.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Grounded knowledge</w:t>
      </w:r>
    </w:p>
    <w:p>
      <w:pPr>
        <w:pStyle w:val="BodyText"/>
      </w:pPr>
      <w:r>
        <w:t xml:space="preserve">Retrieve trusted, current enterprise information rather than relying on model memory alone.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Controlled action</w:t>
      </w:r>
    </w:p>
    <w:p>
      <w:pPr>
        <w:pStyle w:val="BodyText"/>
      </w:pPr>
      <w:r>
        <w:t xml:space="preserve">Give the model narrow, observable tools instead of unrestricted system access.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Measurement and control</w:t>
      </w:r>
    </w:p>
    <w:p>
      <w:pPr>
        <w:pStyle w:val="BodyText"/>
      </w:pPr>
      <w:r>
        <w:t xml:space="preserve">Evaluate quality, enforce guardrails, and monitor cost and latency in production.</w:t>
      </w:r>
    </w:p>
    <w:p>
      <w:pPr>
        <w:pStyle w:val="Source"/>
      </w:pPr>
      <w:r>
        <w:t xml:space="preserve">Source: </w:t>
      </w:r>
      <w:hyperlink r:id="rId10">
        <w:r>
          <w:rPr>
            <w:rStyle w:val="Hyperlink"/>
          </w:rPr>
          <w:t xml:space="preserve">OpenAI — Tokens and tokenization</w:t>
        </w:r>
      </w:hyperlink>
      <w:r>
        <w:t xml:space="preserve">; </w:t>
      </w:r>
      <w:hyperlink r:id="rId11">
        <w:r>
          <w:rPr>
            <w:rStyle w:val="Hyperlink"/>
          </w:rPr>
          <w:t xml:space="preserve">Lewis et al. — Retrieval-Augmented Generation for Knowledge-Intensive NLP Tasks</w:t>
        </w:r>
      </w:hyperlink>
      <w:r>
        <w:t xml:space="preserve">; </w:t>
      </w:r>
      <w:hyperlink r:id="rId12">
        <w:r>
          <w:rPr>
            <w:rStyle w:val="Hyperlink"/>
          </w:rPr>
          <w:t xml:space="preserve">OpenAI — Function calling guide</w:t>
        </w:r>
      </w:hyperlink>
      <w:r>
        <w:t xml:space="preserve">; </w:t>
      </w:r>
      <w:hyperlink r:id="rId13">
        <w:r>
          <w:rPr>
            <w:rStyle w:val="Hyperlink"/>
          </w:rPr>
          <w:t xml:space="preserve">NIST — AI Risk Management Framework</w:t>
        </w:r>
      </w:hyperlink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OpenAI — Tokens and tokenization — OpenAI — https://platform.openai.com/docs/concepts/tokens</w:t>
      </w:r>
    </w:p>
    <w:p>
      <w:pPr>
        <w:pStyle w:val="Notes"/>
      </w:pPr>
      <w:r>
        <w:t xml:space="preserve">- Lewis et al. — Retrieval-Augmented Generation for Knowledge-Intensive NLP Tasks — arXiv — https://arxiv.org/abs/2005.11401</w:t>
      </w:r>
    </w:p>
    <w:p>
      <w:pPr>
        <w:pStyle w:val="Notes"/>
      </w:pPr>
      <w:r>
        <w:t xml:space="preserve">- OpenAI — Function calling guide — OpenAI — https://platform.openai.com/docs/guides/function-calling</w:t>
      </w:r>
    </w:p>
    <w:p>
      <w:pPr>
        <w:pStyle w:val="Notes"/>
      </w:pPr>
      <w:r>
        <w:t xml:space="preserve">- NIST — AI Risk Management Framework — NIST — https://www.nist.gov/itl/ai-risk-management-framework</w:t>
      </w:r>
    </w:p>
    <w:p>
      <w:pPr>
        <w:pStyle w:val="Tracker"/>
      </w:pPr>
      <w:r>
        <w:t xml:space="preserve">MODEL FUNDAMENTALS</w:t>
      </w:r>
    </w:p>
    <w:p>
      <w:pPr>
        <w:pStyle w:val="Heading1"/>
      </w:pPr>
      <w:r>
        <w:t xml:space="preserve">Tokens and the context window set what the model can process in one interaction</w:t>
      </w:r>
    </w:p>
    <w:p>
      <w:pPr>
        <w:pStyle w:val="BodyText"/>
      </w:pPr>
      <w:r>
        <w:t xml:space="preserve">Tokens are model-readable pieces of text</w:t>
      </w:r>
    </w:p>
    <w:p>
      <w:pPr>
        <w:pStyle w:val="BodyText"/>
      </w:pPr>
      <w:r>
        <w:t xml:space="preserve">The context window is the model's working set</w:t>
      </w:r>
    </w:p>
    <w:p>
      <w:pPr>
        <w:pStyle w:val="BodyText"/>
      </w:pPr>
      <w:r>
        <w:t xml:space="preserve">Context is a product design constraint</w:t>
      </w:r>
    </w:p>
    <w:p>
      <w:pPr>
        <w:pStyle w:val="BodyText"/>
      </w:pPr>
      <w:r>
        <w:t xml:space="preserve">Text is split into tokens before processing; tokenization varies by model and language.</w:t>
      </w:r>
    </w:p>
    <w:p>
      <w:pPr>
        <w:pStyle w:val="BodyText"/>
      </w:pPr>
      <w:r>
        <w:t xml:space="preserve">Instructions, conversation history, retrieved knowledge, and output all compete for the same finite window.</w:t>
      </w:r>
    </w:p>
    <w:p>
      <w:pPr>
        <w:pStyle w:val="BodyText"/>
      </w:pPr>
      <w:r>
        <w:t xml:space="preserve">Decide what to include, summarize, retrieve, or omit so the model sees the relevant evidence.</w:t>
      </w:r>
    </w:p>
    <w:p>
      <w:pPr>
        <w:pStyle w:val="Source"/>
      </w:pPr>
      <w:r>
        <w:t xml:space="preserve">Source: </w:t>
      </w:r>
      <w:hyperlink r:id="rId14">
        <w:r>
          <w:rPr>
            <w:rStyle w:val="Hyperlink"/>
          </w:rPr>
          <w:t xml:space="preserve">OpenAI — Tokens and tokenization</w:t>
        </w:r>
      </w:hyperlink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OpenAI — Tokens and tokenization — OpenAI — https://platform.openai.com/docs/concepts/tokens</w:t>
      </w:r>
    </w:p>
    <w:p>
      <w:pPr>
        <w:pStyle w:val="Tracker"/>
      </w:pPr>
      <w:r>
        <w:t xml:space="preserve">MODEL LIFECYCLE</w:t>
      </w:r>
    </w:p>
    <w:p>
      <w:pPr>
        <w:pStyle w:val="Heading1"/>
      </w:pPr>
      <w:r>
        <w:t xml:space="preserve">Training builds a model; inference applies it to each request</w:t>
      </w:r>
    </w:p>
    <w:p>
      <w:pPr>
        <w:pStyle w:val="BodyText"/>
      </w:pPr>
      <w:r>
        <w:t xml:space="preserve">Training changes model parameters</w:t>
      </w:r>
    </w:p>
    <w:p>
      <w:pPr>
        <w:pStyle w:val="BodyText"/>
      </w:pPr>
      <w:r>
        <w:t xml:space="preserve">Inference applies the trained model</w:t>
      </w:r>
    </w:p>
    <w:p>
      <w:pPr>
        <w:pStyle w:val="BodyText"/>
      </w:pPr>
      <w:r>
        <w:t xml:space="preserve">The distinction changes project choices</w:t>
      </w:r>
    </w:p>
    <w:p>
      <w:pPr>
        <w:pStyle w:val="BodyText"/>
      </w:pPr>
      <w:r>
        <w:t xml:space="preserve">The learning process adjusts parameters from data to create general capabilities.</w:t>
      </w:r>
    </w:p>
    <w:p>
      <w:pPr>
        <w:pStyle w:val="BodyText"/>
      </w:pPr>
      <w:r>
        <w:t xml:space="preserve">Each request combines an input and context with the existing model to produce an output.</w:t>
      </w:r>
    </w:p>
    <w:p>
      <w:pPr>
        <w:pStyle w:val="BodyText"/>
      </w:pPr>
      <w:r>
        <w:t xml:space="preserve">Most enterprise work improves inference through prompts, retrieval, tools, and controls rather than training a model.</w:t>
      </w:r>
    </w:p>
    <w:p>
      <w:pPr>
        <w:pStyle w:val="Source"/>
      </w:pPr>
      <w:r>
        <w:t xml:space="preserve">Source: </w:t>
      </w:r>
      <w:hyperlink r:id="rId15">
        <w:r>
          <w:rPr>
            <w:rStyle w:val="Hyperlink"/>
          </w:rPr>
          <w:t xml:space="preserve">Vaswani et al. — Attention Is All You Need</w:t>
        </w:r>
      </w:hyperlink>
      <w:r>
        <w:t xml:space="preserve">; </w:t>
      </w:r>
      <w:hyperlink r:id="rId16">
        <w:r>
          <w:rPr>
            <w:rStyle w:val="Hyperlink"/>
          </w:rPr>
          <w:t xml:space="preserve">OpenAI — Fine-tuning guide</w:t>
        </w:r>
      </w:hyperlink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Vaswani et al. — Attention Is All You Need — arXiv — https://arxiv.org/abs/1706.03762</w:t>
      </w:r>
    </w:p>
    <w:p>
      <w:pPr>
        <w:pStyle w:val="Notes"/>
      </w:pPr>
      <w:r>
        <w:t xml:space="preserve">- OpenAI — Fine-tuning guide — OpenAI — https://platform.openai.com/docs/guides/fine-tuning</w:t>
      </w:r>
    </w:p>
    <w:p>
      <w:pPr>
        <w:pStyle w:val="Tracker"/>
      </w:pPr>
      <w:r>
        <w:t xml:space="preserve">GROUNDING</w:t>
      </w:r>
    </w:p>
    <w:p>
      <w:pPr>
        <w:pStyle w:val="Heading1"/>
      </w:pPr>
      <w:r>
        <w:t xml:space="preserve">Embeddings make meaning searchable, and RAG uses that search to ground answers</w:t>
      </w:r>
    </w:p>
    <w:p>
      <w:pPr>
        <w:pStyle w:val="Figure"/>
      </w:pPr>
      <w:r>
        <w:drawing>
          <wp:inline distT="0" distB="0" distL="0" distR="0">
            <wp:extent cx="5760720" cy="3240486"/>
            <wp:docPr id="1" name="Slide 1" descr="Embeddings make meaning searchable, and RAG uses that search to ground answer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slide1.png" descr="Embeddings make meaning searchable, and RAG uses that search to ground answers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Source: </w:t>
      </w:r>
      <w:hyperlink r:id="rId18">
        <w:r>
          <w:rPr>
            <w:rStyle w:val="Hyperlink"/>
          </w:rPr>
          <w:t xml:space="preserve">Lewis et al. — Retrieval-Augmented Generation for Knowledge-Intensive NLP Tasks</w:t>
        </w:r>
      </w:hyperlink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Lewis et al. — Retrieval-Augmented Generation for Knowledge-Intensive NLP Tasks — arXiv — https://arxiv.org/abs/2005.11401</w:t>
      </w:r>
    </w:p>
    <w:p>
      <w:pPr>
        <w:pStyle w:val="Tracker"/>
      </w:pPr>
      <w:r>
        <w:t xml:space="preserve">ADAPTATION CHOICE</w:t>
      </w:r>
    </w:p>
    <w:p>
      <w:pPr>
        <w:pStyle w:val="Heading1"/>
      </w:pPr>
      <w:r>
        <w:t xml:space="preserve">Prompting steers a model now, while fine-tuning changes behavior through training</w:t>
      </w:r>
    </w:p>
    <w:p>
      <w:pPr>
        <w:pStyle w:val="Figure"/>
      </w:pPr>
      <w:r>
        <w:drawing>
          <wp:inline distT="0" distB="0" distL="0" distR="0">
            <wp:extent cx="5760720" cy="3240486"/>
            <wp:docPr id="2" name="Slide 2" descr="Prompting steers a model now, while fine-tuning changes behavior through train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slide2.png" descr="Prompting steers a model now, while fine-tuning changes behavior through traini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Source: </w:t>
      </w:r>
      <w:hyperlink r:id="rId20">
        <w:r>
          <w:rPr>
            <w:rStyle w:val="Hyperlink"/>
          </w:rPr>
          <w:t xml:space="preserve">OpenAI — Prompt engineering</w:t>
        </w:r>
      </w:hyperlink>
      <w:r>
        <w:t xml:space="preserve">; </w:t>
      </w:r>
      <w:hyperlink r:id="rId21">
        <w:r>
          <w:rPr>
            <w:rStyle w:val="Hyperlink"/>
          </w:rPr>
          <w:t xml:space="preserve">OpenAI — Fine-tuning guide</w:t>
        </w:r>
      </w:hyperlink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OpenAI — Prompt engineering — OpenAI — https://platform.openai.com/docs/guides/prompt-engineering</w:t>
      </w:r>
    </w:p>
    <w:p>
      <w:pPr>
        <w:pStyle w:val="Notes"/>
      </w:pPr>
      <w:r>
        <w:t xml:space="preserve">- OpenAI — Fine-tuning guide — OpenAI — https://platform.openai.com/docs/guides/fine-tuning</w:t>
      </w:r>
    </w:p>
    <w:p>
      <w:pPr>
        <w:pStyle w:val="Tracker"/>
      </w:pPr>
      <w:r>
        <w:t xml:space="preserve">RELIABILITY</w:t>
      </w:r>
    </w:p>
    <w:p>
      <w:pPr>
        <w:pStyle w:val="Heading1"/>
      </w:pPr>
      <w:r>
        <w:t xml:space="preserve">Hallucinations are plausible but unsupported outputs, so systems need multiple reduction layers</w:t>
      </w:r>
    </w:p>
    <w:p>
      <w:pPr>
        <w:pStyle w:val="BodyText"/>
      </w:pPr>
      <w:r>
        <w:t xml:space="preserve">Ground each answer in approved evidence</w:t>
      </w:r>
    </w:p>
    <w:p>
      <w:pPr>
        <w:pStyle w:val="BodyText"/>
      </w:pPr>
      <w:r>
        <w:t xml:space="preserve">Constrain important outputs</w:t>
      </w:r>
    </w:p>
    <w:p>
      <w:pPr>
        <w:pStyle w:val="BodyText"/>
      </w:pPr>
      <w:r>
        <w:t xml:space="preserve">Clarify or escalate ambiguity</w:t>
      </w:r>
    </w:p>
    <w:p>
      <w:pPr>
        <w:pStyle w:val="BodyText"/>
      </w:pPr>
      <w:r>
        <w:t xml:space="preserve">Govern the knowledge base</w:t>
      </w:r>
    </w:p>
    <w:p>
      <w:pPr>
        <w:pStyle w:val="BodyText"/>
      </w:pPr>
      <w:r>
        <w:t xml:space="preserve">Retrieve trusted sources and require citations where users need to verify an answer.</w:t>
      </w:r>
    </w:p>
    <w:p>
      <w:pPr>
        <w:pStyle w:val="BodyText"/>
      </w:pPr>
      <w:r>
        <w:t xml:space="preserve">Use structured schemas, validation, and policy checks before a response or action is accepted.</w:t>
      </w:r>
    </w:p>
    <w:p>
      <w:pPr>
        <w:pStyle w:val="BodyText"/>
      </w:pPr>
      <w:r>
        <w:t xml:space="preserve">Ask for missing context and route high-consequence cases to a qualified person.</w:t>
      </w:r>
    </w:p>
    <w:p>
      <w:pPr>
        <w:pStyle w:val="BodyText"/>
      </w:pPr>
      <w:r>
        <w:t xml:space="preserve">Set provenance, access, freshness, and review rules for the sources used at run time.</w:t>
      </w:r>
    </w:p>
    <w:p>
      <w:pPr>
        <w:pStyle w:val="Source"/>
      </w:pPr>
      <w:r>
        <w:t xml:space="preserve">Source: </w:t>
      </w:r>
      <w:hyperlink r:id="rId22">
        <w:r>
          <w:rPr>
            <w:rStyle w:val="Hyperlink"/>
          </w:rPr>
          <w:t xml:space="preserve">Lewis et al. — Retrieval-Augmented Generation for Knowledge-Intensive NLP Tasks</w:t>
        </w:r>
      </w:hyperlink>
      <w:r>
        <w:t xml:space="preserve">; </w:t>
      </w:r>
      <w:hyperlink r:id="rId23">
        <w:r>
          <w:rPr>
            <w:rStyle w:val="Hyperlink"/>
          </w:rPr>
          <w:t xml:space="preserve">OpenAI — Function calling guide</w:t>
        </w:r>
      </w:hyperlink>
      <w:r>
        <w:t xml:space="preserve">; </w:t>
      </w:r>
      <w:hyperlink r:id="rId24">
        <w:r>
          <w:rPr>
            <w:rStyle w:val="Hyperlink"/>
          </w:rPr>
          <w:t xml:space="preserve">NIST — AI Risk Management Framework</w:t>
        </w:r>
      </w:hyperlink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Lewis et al. — Retrieval-Augmented Generation for Knowledge-Intensive NLP Tasks — arXiv — https://arxiv.org/abs/2005.11401</w:t>
      </w:r>
    </w:p>
    <w:p>
      <w:pPr>
        <w:pStyle w:val="Notes"/>
      </w:pPr>
      <w:r>
        <w:t xml:space="preserve">- OpenAI — Function calling guide — OpenAI — https://platform.openai.com/docs/guides/function-calling</w:t>
      </w:r>
    </w:p>
    <w:p>
      <w:pPr>
        <w:pStyle w:val="Notes"/>
      </w:pPr>
      <w:r>
        <w:t xml:space="preserve">- NIST — AI Risk Management Framework — NIST — https://www.nist.gov/itl/ai-risk-management-framework</w:t>
      </w:r>
    </w:p>
    <w:p>
      <w:pPr>
        <w:pStyle w:val="Tracker"/>
      </w:pPr>
      <w:r>
        <w:t xml:space="preserve">CONTROLLED ACTION</w:t>
      </w:r>
    </w:p>
    <w:p>
      <w:pPr>
        <w:pStyle w:val="Heading1"/>
      </w:pPr>
      <w:r>
        <w:t xml:space="preserve">Tool use lets a model act, and function calling supplies the controlled contract</w:t>
      </w:r>
    </w:p>
    <w:p>
      <w:pPr>
        <w:pStyle w:val="Figure"/>
      </w:pPr>
      <w:r>
        <w:drawing>
          <wp:inline distT="0" distB="0" distL="0" distR="0">
            <wp:extent cx="5760720" cy="3240486"/>
            <wp:docPr id="3" name="Slide 3" descr="Tool use lets a model act, and function calling supplies the controlled contrac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slide3.png" descr="Tool use lets a model act, and function calling supplies the controlled contract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Source: </w:t>
      </w:r>
      <w:hyperlink r:id="rId26">
        <w:r>
          <w:rPr>
            <w:rStyle w:val="Hyperlink"/>
          </w:rPr>
          <w:t xml:space="preserve">OpenAI — Function calling guide</w:t>
        </w:r>
      </w:hyperlink>
      <w:r>
        <w:t xml:space="preserve">; </w:t>
      </w:r>
      <w:hyperlink r:id="rId27">
        <w:r>
          <w:rPr>
            <w:rStyle w:val="Hyperlink"/>
          </w:rPr>
          <w:t xml:space="preserve">NIST — AI Risk Management Framework</w:t>
        </w:r>
      </w:hyperlink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OpenAI — Function calling guide — OpenAI — https://platform.openai.com/docs/guides/function-calling</w:t>
      </w:r>
    </w:p>
    <w:p>
      <w:pPr>
        <w:pStyle w:val="Notes"/>
      </w:pPr>
      <w:r>
        <w:t xml:space="preserve">- NIST — AI Risk Management Framework — NIST — https://www.nist.gov/itl/ai-risk-management-framework</w:t>
      </w:r>
    </w:p>
    <w:p>
      <w:pPr>
        <w:pStyle w:val="Tracker"/>
      </w:pPr>
      <w:r>
        <w:t xml:space="preserve">AI AGENTS</w:t>
      </w:r>
    </w:p>
    <w:p>
      <w:pPr>
        <w:pStyle w:val="Heading1"/>
      </w:pPr>
      <w:r>
        <w:t xml:space="preserve">Agents repeat plan–act–observe loops, with memory treated as managed state</w:t>
      </w:r>
    </w:p>
    <w:p>
      <w:pPr>
        <w:pStyle w:val="Figure"/>
      </w:pPr>
      <w:r>
        <w:drawing>
          <wp:inline distT="0" distB="0" distL="0" distR="0">
            <wp:extent cx="5760720" cy="3240486"/>
            <wp:docPr id="4" name="Slide 4" descr="Agents repeat plan–act–observe loops, with memory treated as managed sta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slide4.png" descr="Agents repeat plan–act–observe loops, with memory treated as managed state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Source: </w:t>
      </w:r>
      <w:hyperlink r:id="rId29">
        <w:r>
          <w:rPr>
            <w:rStyle w:val="Hyperlink"/>
          </w:rPr>
          <w:t xml:space="preserve">Anthropic — Building effective agents</w:t>
        </w:r>
      </w:hyperlink>
      <w:r>
        <w:t xml:space="preserve">; </w:t>
      </w:r>
      <w:hyperlink r:id="rId30">
        <w:r>
          <w:rPr>
            <w:rStyle w:val="Hyperlink"/>
          </w:rPr>
          <w:t xml:space="preserve">NIST — AI Risk Management Framework</w:t>
        </w:r>
      </w:hyperlink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Anthropic — Building effective agents — Anthropic — https://www.anthropic.com/engineering/building-effective-agents</w:t>
      </w:r>
    </w:p>
    <w:p>
      <w:pPr>
        <w:pStyle w:val="Notes"/>
      </w:pPr>
      <w:r>
        <w:t xml:space="preserve">- NIST — AI Risk Management Framework — NIST — https://www.nist.gov/itl/ai-risk-management-framework</w:t>
      </w:r>
    </w:p>
    <w:p>
      <w:pPr>
        <w:pStyle w:val="Tracker"/>
      </w:pPr>
      <w:r>
        <w:t xml:space="preserve">QUALITY AND SAFETY</w:t>
      </w:r>
    </w:p>
    <w:p>
      <w:pPr>
        <w:pStyle w:val="Heading1"/>
      </w:pPr>
      <w:r>
        <w:t xml:space="preserve">Evaluation and guardrails make quality, safety, and operational control testable</w:t>
      </w:r>
    </w:p>
    <w:p>
      <w:pPr>
        <w:pStyle w:val="BodyText"/>
      </w:pPr>
      <w:r>
        <w:t xml:space="preserve">Define success and failure</w:t>
      </w:r>
    </w:p>
    <w:p>
      <w:pPr>
        <w:pStyle w:val="BodyText"/>
      </w:pPr>
      <w:r>
        <w:t xml:space="preserve">Test before release</w:t>
      </w:r>
    </w:p>
    <w:p>
      <w:pPr>
        <w:pStyle w:val="BodyText"/>
      </w:pPr>
      <w:r>
        <w:t xml:space="preserve">Guard at run time</w:t>
      </w:r>
    </w:p>
    <w:p>
      <w:pPr>
        <w:pStyle w:val="BodyText"/>
      </w:pPr>
      <w:r>
        <w:t xml:space="preserve">Monitor in production</w:t>
      </w:r>
    </w:p>
    <w:p>
      <w:pPr>
        <w:pStyle w:val="BodyText"/>
      </w:pPr>
      <w:r>
        <w:t xml:space="preserve">Build representative tasks, expected outcomes, and unacceptable failure modes into an evaluation set.</w:t>
      </w:r>
    </w:p>
    <w:p>
      <w:pPr>
        <w:pStyle w:val="BodyText"/>
      </w:pPr>
      <w:r>
        <w:t xml:space="preserve">Compare quality, safety, and tool-use behavior against agreed acceptance criteria.</w:t>
      </w:r>
    </w:p>
    <w:p>
      <w:pPr>
        <w:pStyle w:val="BodyText"/>
      </w:pPr>
      <w:r>
        <w:t xml:space="preserve">Apply access controls, content policies, schemas, approvals, and human escalation.</w:t>
      </w:r>
    </w:p>
    <w:p>
      <w:pPr>
        <w:pStyle w:val="BodyText"/>
      </w:pPr>
      <w:r>
        <w:t xml:space="preserve">Log outcomes, analyze failures, and refresh evaluations as the product and knowledge change.</w:t>
      </w:r>
    </w:p>
    <w:p>
      <w:pPr>
        <w:pStyle w:val="Source"/>
      </w:pPr>
      <w:r>
        <w:t xml:space="preserve">Source: </w:t>
      </w:r>
      <w:hyperlink r:id="rId31">
        <w:r>
          <w:rPr>
            <w:rStyle w:val="Hyperlink"/>
          </w:rPr>
          <w:t xml:space="preserve">OpenAI — Evaluation best practices</w:t>
        </w:r>
      </w:hyperlink>
      <w:r>
        <w:t xml:space="preserve">; </w:t>
      </w:r>
      <w:hyperlink r:id="rId32">
        <w:r>
          <w:rPr>
            <w:rStyle w:val="Hyperlink"/>
          </w:rPr>
          <w:t xml:space="preserve">NIST — AI Risk Management Framework</w:t>
        </w:r>
      </w:hyperlink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OpenAI — Evaluation best practices — OpenAI — https://platform.openai.com/docs/guides/evals</w:t>
      </w:r>
    </w:p>
    <w:p>
      <w:pPr>
        <w:pStyle w:val="Notes"/>
      </w:pPr>
      <w:r>
        <w:t xml:space="preserve">- NIST — AI Risk Management Framework — NIST — https://www.nist.gov/itl/ai-risk-management-framework</w:t>
      </w:r>
    </w:p>
    <w:p>
      <w:pPr>
        <w:pStyle w:val="Tracker"/>
      </w:pPr>
      <w:r>
        <w:t xml:space="preserve">OPERATING TRADE-OFFS</w:t>
      </w:r>
    </w:p>
    <w:p>
      <w:pPr>
        <w:pStyle w:val="Heading1"/>
      </w:pPr>
      <w:r>
        <w:t xml:space="preserve">Capability, cost, and latency form a design trade-off to optimize deliberately</w:t>
      </w:r>
    </w:p>
    <w:p>
      <w:pPr>
        <w:pStyle w:val="Figure"/>
      </w:pPr>
      <w:r>
        <w:drawing>
          <wp:inline distT="0" distB="0" distL="0" distR="0">
            <wp:extent cx="5760720" cy="3240486"/>
            <wp:docPr id="5" name="Slide 5" descr="Capability, cost, and latency form a design trade-off to optimize deliberatel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slide5.png" descr="Capability, cost, and latency form a design trade-off to optimize deliberately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6"/>
                    </a:xfrm>
                    <a:prstGeom prst="rect">
                      <a:avLst/>
                    </a:prstGeom>
                    <a:ln w="6350">
                      <a:solidFill>
                        <a:srgbClr val="D0D5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Source: </w:t>
      </w:r>
      <w:hyperlink r:id="rId34">
        <w:r>
          <w:rPr>
            <w:rStyle w:val="Hyperlink"/>
          </w:rPr>
          <w:t xml:space="preserve">OpenAI — Latency optimization</w:t>
        </w:r>
      </w:hyperlink>
      <w:r>
        <w:t xml:space="preserve">; </w:t>
      </w:r>
      <w:hyperlink r:id="rId35">
        <w:r>
          <w:rPr>
            <w:rStyle w:val="Hyperlink"/>
          </w:rPr>
          <w:t xml:space="preserve">OpenAI — Tokens and tokenization</w:t>
        </w:r>
      </w:hyperlink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OpenAI — Latency optimization — OpenAI — https://platform.openai.com/docs/guides/latency-optimization</w:t>
      </w:r>
    </w:p>
    <w:p>
      <w:pPr>
        <w:pStyle w:val="Notes"/>
      </w:pPr>
      <w:r>
        <w:t xml:space="preserve">- OpenAI — Tokens and tokenization — OpenAI — https://platform.openai.com/docs/concepts/tokens</w:t>
      </w:r>
    </w:p>
    <w:p>
      <w:pPr>
        <w:pStyle w:val="Tracker"/>
      </w:pPr>
      <w:r>
        <w:t xml:space="preserve">FROM VOCABULARY TO CHARTER</w:t>
      </w:r>
    </w:p>
    <w:p>
      <w:pPr>
        <w:pStyle w:val="Heading1"/>
      </w:pPr>
      <w:r>
        <w:t xml:space="preserve">A short discovery sequence turns the vocabulary into an AI project charter</w:t>
      </w:r>
    </w:p>
    <w:p>
      <w:pPr>
        <w:pStyle w:val="Source"/>
      </w:pPr>
      <w:r>
        <w:t xml:space="preserve">Source: </w:t>
      </w:r>
      <w:hyperlink r:id="rId36">
        <w:r>
          <w:rPr>
            <w:rStyle w:val="Hyperlink"/>
          </w:rPr>
          <w:t xml:space="preserve">OpenAI — Evaluation best practices</w:t>
        </w:r>
      </w:hyperlink>
      <w:r>
        <w:t xml:space="preserve">; </w:t>
      </w:r>
      <w:hyperlink r:id="rId37">
        <w:r>
          <w:rPr>
            <w:rStyle w:val="Hyperlink"/>
          </w:rPr>
          <w:t xml:space="preserve">NIST — AI Risk Management Framework</w:t>
        </w:r>
      </w:hyperlink>
      <w:r>
        <w:t xml:space="preserve">; </w:t>
      </w:r>
      <w:hyperlink r:id="rId38">
        <w:r>
          <w:rPr>
            <w:rStyle w:val="Hyperlink"/>
          </w:rPr>
          <w:t xml:space="preserve">OpenAI — Latency optimization</w:t>
        </w:r>
      </w:hyperlink>
    </w:p>
    <w:p>
      <w:pPr>
        <w:pStyle w:val="Notes"/>
      </w:pPr>
      <w:r>
        <w:t xml:space="preserve">[Sources]</w:t>
      </w:r>
    </w:p>
    <w:p>
      <w:pPr>
        <w:pStyle w:val="Notes"/>
      </w:pPr>
      <w:r>
        <w:t xml:space="preserve">- OpenAI — Evaluation best practices — OpenAI — https://platform.openai.com/docs/guides/evals</w:t>
      </w:r>
    </w:p>
    <w:p>
      <w:pPr>
        <w:pStyle w:val="Notes"/>
      </w:pPr>
      <w:r>
        <w:t xml:space="preserve">- NIST — AI Risk Management Framework — NIST — https://www.nist.gov/itl/ai-risk-management-framework</w:t>
      </w:r>
    </w:p>
    <w:p>
      <w:pPr>
        <w:pStyle w:val="Notes"/>
      </w:pPr>
      <w:r>
        <w:t xml:space="preserve">- OpenAI — Latency optimization — OpenAI — https://platform.openai.com/docs/guides/latency-optimization</w:t>
      </w:r>
    </w:p>
    <w:sectPr>
      <w:pgSz w:w="11906" w:h="16838"/>
      <w:pgMar w:top="1134" w:right="1021" w:bottom="1134" w:left="1021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color w:val="0B1F3A"/>
        <w:lang w:val="e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0" w:styleId="Title">
    <w:name w:val="Title"/>
    <w:basedOn w:val="Normal"/>
    <w:qFormat/>
    <w:pPr>
      <w:spacing w:after="160"/>
    </w:pPr>
    <w:rPr>
      <w:rFonts w:ascii="Arial" w:hAnsi="Arial"/>
      <w:b/>
      <w:sz w:val="52"/>
    </w:rPr>
  </w:style>
  <w:style w:type="paragraph" w:customStyle="0" w:styleId="Subtitle">
    <w:name w:val="Subtitle"/>
    <w:basedOn w:val="Normal"/>
    <w:qFormat/>
    <w:pPr>
      <w:spacing w:after="240"/>
    </w:pPr>
    <w:rPr>
      <w:color w:val="5B6B7F"/>
      <w:sz w:val="26"/>
    </w:rPr>
  </w:style>
  <w:style w:type="paragraph" w:customStyle="0" w:styleId="Heading1">
    <w:name w:val="heading 1"/>
    <w:basedOn w:val="Normal"/>
    <w:qFormat/>
    <w:pPr>
      <w:keepNext/>
      <w:spacing w:before="360" w:after="160"/>
      <w:outlineLvl w:val="0"/>
    </w:pPr>
    <w:rPr>
      <w:rFonts w:ascii="Arial" w:hAnsi="Arial"/>
      <w:b/>
      <w:sz w:val="30"/>
    </w:rPr>
  </w:style>
  <w:style w:type="paragraph" w:customStyle="1" w:styleId="Tracker">
    <w:name w:val="Tracker"/>
    <w:basedOn w:val="Normal"/>
    <w:qFormat/>
    <w:pPr>
      <w:keepNext/>
      <w:spacing w:before="320" w:after="0"/>
    </w:pPr>
    <w:rPr>
      <w:b/>
      <w:caps/>
      <w:color w:val="1F5FBF"/>
      <w:sz w:val="16"/>
    </w:rPr>
  </w:style>
  <w:style w:type="paragraph" w:customStyle="1" w:styleId="Lead">
    <w:name w:val="Lead"/>
    <w:basedOn w:val="Normal"/>
    <w:qFormat/>
    <w:pPr/>
    <w:rPr>
      <w:i/>
      <w:color w:val="5B6B7F"/>
      <w:sz w:val="22"/>
    </w:rPr>
  </w:style>
  <w:style w:type="paragraph" w:customStyle="0" w:styleId="BodyText">
    <w:name w:val="Body Text"/>
    <w:basedOn w:val="Normal"/>
    <w:qFormat/>
    <w:pPr/>
    <w:rPr/>
  </w:style>
  <w:style w:type="paragraph" w:customStyle="0" w:styleId="ListBullet">
    <w:name w:val="List Bullet"/>
    <w:basedOn w:val="Normal"/>
    <w:qFormat/>
    <w:pPr>
      <w:numPr>
        <w:ilvl w:val="0"/>
        <w:numId w:val="1"/>
      </w:numPr>
      <w:spacing w:after="80"/>
    </w:pPr>
    <w:rPr/>
  </w:style>
  <w:style w:type="paragraph" w:customStyle="1" w:styleId="TableText">
    <w:name w:val="Table Text"/>
    <w:basedOn w:val="Normal"/>
    <w:qFormat/>
    <w:pPr>
      <w:spacing w:after="0"/>
    </w:pPr>
    <w:rPr>
      <w:sz w:val="19"/>
    </w:rPr>
  </w:style>
  <w:style w:type="paragraph" w:customStyle="1" w:styleId="Figure">
    <w:name w:val="Figure"/>
    <w:basedOn w:val="Normal"/>
    <w:qFormat/>
    <w:pPr>
      <w:jc w:val="center"/>
      <w:spacing w:before="120" w:after="120"/>
    </w:pPr>
    <w:rPr/>
  </w:style>
  <w:style w:type="paragraph" w:customStyle="1" w:styleId="Source">
    <w:name w:val="Source"/>
    <w:basedOn w:val="Normal"/>
    <w:qFormat/>
    <w:pPr>
      <w:spacing w:after="120"/>
    </w:pPr>
    <w:rPr>
      <w:color w:val="5B6B7F"/>
      <w:sz w:val="16"/>
    </w:rPr>
  </w:style>
  <w:style w:type="paragraph" w:customStyle="1" w:styleId="Notes">
    <w:name w:val="Speaker Notes"/>
    <w:basedOn w:val="Normal"/>
    <w:qFormat/>
    <w:pPr>
      <w:pBdr>
        <w:left w:val="single" w:sz="12" w:space="8" w:color="C9D2DE"/>
      </w:pBdr>
      <w:ind w:left="200"/>
    </w:pPr>
    <w:rPr>
      <w:color w:val="5B6B7F"/>
      <w:sz w:val="19"/>
    </w:rPr>
  </w:style>
  <w:style w:type="character" w:styleId="Hyperlink">
    <w:name w:val="Hyperlink"/>
    <w:rPr>
      <w:color w:val="1F5FB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10" Type="http://schemas.openxmlformats.org/officeDocument/2006/relationships/hyperlink" Target="https://platform.openai.com/docs/concepts/tokens" TargetMode="External"/><Relationship Id="rId11" Type="http://schemas.openxmlformats.org/officeDocument/2006/relationships/hyperlink" Target="https://arxiv.org/abs/2005.11401" TargetMode="External"/><Relationship Id="rId12" Type="http://schemas.openxmlformats.org/officeDocument/2006/relationships/hyperlink" Target="https://platform.openai.com/docs/guides/function-calling" TargetMode="External"/><Relationship Id="rId13" Type="http://schemas.openxmlformats.org/officeDocument/2006/relationships/hyperlink" Target="https://www.nist.gov/itl/ai-risk-management-framework" TargetMode="External"/><Relationship Id="rId14" Type="http://schemas.openxmlformats.org/officeDocument/2006/relationships/hyperlink" Target="https://platform.openai.com/docs/concepts/tokens" TargetMode="External"/><Relationship Id="rId15" Type="http://schemas.openxmlformats.org/officeDocument/2006/relationships/hyperlink" Target="https://arxiv.org/abs/1706.03762" TargetMode="External"/><Relationship Id="rId16" Type="http://schemas.openxmlformats.org/officeDocument/2006/relationships/hyperlink" Target="https://platform.openai.com/docs/guides/fine-tuning" TargetMode="External"/><Relationship Id="rId17" Type="http://schemas.openxmlformats.org/officeDocument/2006/relationships/image" Target="media/slide1.png"/><Relationship Id="rId18" Type="http://schemas.openxmlformats.org/officeDocument/2006/relationships/hyperlink" Target="https://arxiv.org/abs/2005.11401" TargetMode="External"/><Relationship Id="rId19" Type="http://schemas.openxmlformats.org/officeDocument/2006/relationships/image" Target="media/slide2.png"/><Relationship Id="rId20" Type="http://schemas.openxmlformats.org/officeDocument/2006/relationships/hyperlink" Target="https://platform.openai.com/docs/guides/prompt-engineering" TargetMode="External"/><Relationship Id="rId21" Type="http://schemas.openxmlformats.org/officeDocument/2006/relationships/hyperlink" Target="https://platform.openai.com/docs/guides/fine-tuning" TargetMode="External"/><Relationship Id="rId22" Type="http://schemas.openxmlformats.org/officeDocument/2006/relationships/hyperlink" Target="https://arxiv.org/abs/2005.11401" TargetMode="External"/><Relationship Id="rId23" Type="http://schemas.openxmlformats.org/officeDocument/2006/relationships/hyperlink" Target="https://platform.openai.com/docs/guides/function-calling" TargetMode="External"/><Relationship Id="rId24" Type="http://schemas.openxmlformats.org/officeDocument/2006/relationships/hyperlink" Target="https://www.nist.gov/itl/ai-risk-management-framework" TargetMode="External"/><Relationship Id="rId25" Type="http://schemas.openxmlformats.org/officeDocument/2006/relationships/image" Target="media/slide3.png"/><Relationship Id="rId26" Type="http://schemas.openxmlformats.org/officeDocument/2006/relationships/hyperlink" Target="https://platform.openai.com/docs/guides/function-calling" TargetMode="External"/><Relationship Id="rId27" Type="http://schemas.openxmlformats.org/officeDocument/2006/relationships/hyperlink" Target="https://www.nist.gov/itl/ai-risk-management-framework" TargetMode="External"/><Relationship Id="rId28" Type="http://schemas.openxmlformats.org/officeDocument/2006/relationships/image" Target="media/slide4.png"/><Relationship Id="rId29" Type="http://schemas.openxmlformats.org/officeDocument/2006/relationships/hyperlink" Target="https://www.anthropic.com/engineering/building-effective-agents" TargetMode="External"/><Relationship Id="rId30" Type="http://schemas.openxmlformats.org/officeDocument/2006/relationships/hyperlink" Target="https://www.nist.gov/itl/ai-risk-management-framework" TargetMode="External"/><Relationship Id="rId31" Type="http://schemas.openxmlformats.org/officeDocument/2006/relationships/hyperlink" Target="https://platform.openai.com/docs/guides/evals" TargetMode="External"/><Relationship Id="rId32" Type="http://schemas.openxmlformats.org/officeDocument/2006/relationships/hyperlink" Target="https://www.nist.gov/itl/ai-risk-management-framework" TargetMode="External"/><Relationship Id="rId33" Type="http://schemas.openxmlformats.org/officeDocument/2006/relationships/image" Target="media/slide5.png"/><Relationship Id="rId34" Type="http://schemas.openxmlformats.org/officeDocument/2006/relationships/hyperlink" Target="https://platform.openai.com/docs/guides/latency-optimization" TargetMode="External"/><Relationship Id="rId35" Type="http://schemas.openxmlformats.org/officeDocument/2006/relationships/hyperlink" Target="https://platform.openai.com/docs/concepts/tokens" TargetMode="External"/><Relationship Id="rId36" Type="http://schemas.openxmlformats.org/officeDocument/2006/relationships/hyperlink" Target="https://platform.openai.com/docs/guides/evals" TargetMode="External"/><Relationship Id="rId37" Type="http://schemas.openxmlformats.org/officeDocument/2006/relationships/hyperlink" Target="https://www.nist.gov/itl/ai-risk-management-framework" TargetMode="External"/><Relationship Id="rId38" Type="http://schemas.openxmlformats.org/officeDocument/2006/relationships/hyperlink" Target="https://platform.openai.com/docs/guides/latency-optimization" TargetMode="External"/></Relationships>
</file>

<file path=docProps/app.xml><?xml version="1.0" encoding="utf-8"?>
<Properties xmlns="http://schemas.openxmlformats.org/officeDocument/2006/extended-properties">
  <Application>SlideCraft 0.7.6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Shared vocabulary turns AI ambition into sound project choices</dc:title>
  <dc:creator>SlideCraft</dc:creator>
  <dc:language>en</dc:language>
  <dcterms:created xsi:type="dcterms:W3CDTF">2026-01-01T00:00:00Z</dcterms:created>
  <dcterms:modified xsi:type="dcterms:W3CDTF">2026-01-01T00:00:00Z</dcterms:modified>
</cp:coreProperties>
</file>