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Key concepts for LLMs and AI agents: the shared vocabulary your first project needs</w:t>
      </w:r>
    </w:p>
    <w:p>
      <w:pPr>
        <w:pStyle w:val="Tracker"/>
      </w:pPr>
      <w:r>
        <w:t xml:space="preserve">FRAMING</w:t>
      </w:r>
    </w:p>
    <w:p>
      <w:pPr>
        <w:pStyle w:val="Heading1"/>
      </w:pPr>
      <w:r>
        <w:t xml:space="preserve">Agree on ten concepts before kickoff, or re-litigate them in change-requests later</w:t>
      </w:r>
    </w:p>
    <w:p>
      <w:pPr>
        <w:pStyle w:val="Tracker"/>
      </w:pPr>
      <w:r>
        <w:t xml:space="preserve">SITUATION</w:t>
      </w:r>
    </w:p>
    <w:p>
      <w:pPr>
        <w:pStyle w:val="BodyText"/>
      </w:pPr>
      <w:r>
        <w:t xml:space="preserve">Our team is preparing its first AI project. Managers own scope, risk and budget; engineers own the build. Both sides have read vendor material and feel ready.</w:t>
      </w:r>
    </w:p>
    <w:p>
      <w:pPr>
        <w:pStyle w:val="Tracker"/>
      </w:pPr>
      <w:r>
        <w:t xml:space="preserve">COMPLICATION</w:t>
      </w:r>
    </w:p>
    <w:p>
      <w:pPr>
        <w:pStyle w:val="BodyText"/>
      </w:pPr>
      <w:r>
        <w:t xml:space="preserve">The same words mean different things across the table. 'Fine-tuning' is rarely the right first move; 'token' is a billing unit to one person and a model internal to another. These gaps become change-requests once the build starts.</w:t>
      </w:r>
    </w:p>
    <w:p>
      <w:pPr>
        <w:pStyle w:val="Tracker"/>
      </w:pPr>
      <w:r>
        <w:t xml:space="preserve">RESOLUTION</w:t>
      </w:r>
    </w:p>
    <w:p>
      <w:pPr>
        <w:pStyle w:val="BodyText"/>
      </w:pPr>
      <w:r>
        <w:t xml:space="preserve">Spend one hour now aligning on ten concepts — each tied to a project decision — so scope, cost and acceptance criteria rest on shared ground before a single line of code is written.</w:t>
      </w:r>
    </w:p>
    <w:p>
      <w:pPr>
        <w:pStyle w:val="Source"/>
      </w:pPr>
      <w:r>
        <w:t xml:space="preserve">Source: </w:t>
      </w:r>
      <w:hyperlink r:id="rId10">
        <w:r>
          <w:rPr>
            <w:rStyle w:val="Hyperlink"/>
          </w:rPr>
          <w:t xml:space="preserve">McKinsey Global Survey on AI 2024 (2024)</w:t>
        </w:r>
      </w:hyperlink>
    </w:p>
    <w:p>
      <w:pPr>
        <w:pStyle w:val="Notes"/>
      </w:pPr>
      <w:r>
        <w:t xml:space="preserve">Open with this slide to earn the room's attention. The complication is the real hook: misaligned vocabulary is not a soft problem — it shows up as change-requests and cost overruns. The ten concepts we will cover are: tokens and context window, training vs inference, embeddings and RAG, fine-tuning vs prompting, hallucinations, function calling, agents, evaluation, guardrails, and cost and latency. Each one maps to a project decision the team will face.</w:t>
      </w:r>
    </w:p>
    <w:p>
      <w:pPr>
        <w:pStyle w:val="Notes"/>
      </w:pPr>
      <w:r>
        <w:t xml:space="preserve">[Sources]</w:t>
      </w:r>
    </w:p>
    <w:p>
      <w:pPr>
        <w:pStyle w:val="Notes"/>
      </w:pPr>
      <w:r>
        <w:t xml:space="preserve">- McKinsey Global Survey on AI 2024 — McKinsey — 2024 — https://www.mckinsey.com/capabilities/quantumblack/our-insights/state-of-ai</w:t>
      </w:r>
    </w:p>
    <w:p>
      <w:pPr>
        <w:pStyle w:val="Tracker"/>
      </w:pPr>
      <w:r>
        <w:t xml:space="preserve">FRAMING</w:t>
      </w:r>
    </w:p>
    <w:p>
      <w:pPr>
        <w:pStyle w:val="Heading1"/>
      </w:pPr>
      <w:r>
        <w:t xml:space="preserve">One concept per slide, each tied to the project decision it drives</w:t>
      </w:r>
    </w:p>
    <w:p>
      <w:pPr>
        <w:pStyle w:val="BodyText"/>
      </w:pPr>
      <w:r>
        <w:t xml:space="preserve">1</w:t>
      </w:r>
    </w:p>
    <w:p>
      <w:pPr>
        <w:pStyle w:val="BodyText"/>
      </w:pPr>
      <w:r>
        <w:t xml:space="preserve">How an LLM works: tokens and training shape what the model holds and when costs land</w:t>
      </w:r>
    </w:p>
    <w:p>
      <w:pPr>
        <w:pStyle w:val="BodyText"/>
      </w:pPr>
      <w:r>
        <w:t xml:space="preserve">Slides 4–5 cover the context window and training versus inference — the two facts that govern prompt design and per-request budgeting.</w:t>
      </w:r>
    </w:p>
    <w:p>
      <w:pPr>
        <w:pStyle w:val="BodyText"/>
      </w:pPr>
      <w:r>
        <w:t xml:space="preserve">2</w:t>
      </w:r>
    </w:p>
    <w:p>
      <w:pPr>
        <w:pStyle w:val="BodyText"/>
      </w:pPr>
      <w:r>
        <w:t xml:space="preserve">How you shape its behaviour: retrieval, prompting and hallucination controls are your levers</w:t>
      </w:r>
    </w:p>
    <w:p>
      <w:pPr>
        <w:pStyle w:val="BodyText"/>
      </w:pPr>
      <w:r>
        <w:t xml:space="preserve">Slides 6–8 cover RAG, fine-tuning versus prompting, and hallucination mitigation — the decisions that determine data pipeline design and quality controls.</w:t>
      </w:r>
    </w:p>
    <w:p>
      <w:pPr>
        <w:pStyle w:val="BodyText"/>
      </w:pPr>
      <w:r>
        <w:t xml:space="preserve">3</w:t>
      </w:r>
    </w:p>
    <w:p>
      <w:pPr>
        <w:pStyle w:val="BodyText"/>
      </w:pPr>
      <w:r>
        <w:t xml:space="preserve">How you extend it into an agent: function calls and loops turn answers into actions</w:t>
      </w:r>
    </w:p>
    <w:p>
      <w:pPr>
        <w:pStyle w:val="BodyText"/>
      </w:pPr>
      <w:r>
        <w:t xml:space="preserve">Slides 9–10 cover function calling and the agent plan-act-observe loop — the decisions that open your internal APIs and set automation boundaries.</w:t>
      </w:r>
    </w:p>
    <w:p>
      <w:pPr>
        <w:pStyle w:val="BodyText"/>
      </w:pPr>
      <w:r>
        <w:t xml:space="preserve">4</w:t>
      </w:r>
    </w:p>
    <w:p>
      <w:pPr>
        <w:pStyle w:val="BodyText"/>
      </w:pPr>
      <w:r>
        <w:t xml:space="preserve">How you ship it responsibly: evaluation, guardrails and economics decide what goes live</w:t>
      </w:r>
    </w:p>
    <w:p>
      <w:pPr>
        <w:pStyle w:val="BodyText"/>
      </w:pPr>
      <w:r>
        <w:t xml:space="preserve">Slides 11–12 cover test-set evaluation, guardrails, cost and latency — the gate criteria every AI feature must clear before launch.</w:t>
      </w:r>
    </w:p>
    <w:p>
      <w:pPr>
        <w:pStyle w:val="Source"/>
      </w:pPr>
      <w:r>
        <w:t xml:space="preserve">Source: </w:t>
      </w:r>
      <w:r>
        <w:t xml:space="preserve">The Minto Pyramid Principle: Logic in Writing, Thinking and Problem Solving (1987)</w:t>
      </w:r>
    </w:p>
    <w:p>
      <w:pPr>
        <w:pStyle w:val="Notes"/>
      </w:pPr>
      <w:r>
        <w:t xml:space="preserve">Use this slide as the deck map. The four branches form a logical build: you must understand what the model is before you shape it, shape it before you extend it, and extend it before you ship it. Point to each branch and name the slides it covers so the audience can follow along. This also sets the expectation that every concept will end with a 'decision this drives' statement.</w:t>
      </w:r>
    </w:p>
    <w:p>
      <w:pPr>
        <w:pStyle w:val="Notes"/>
      </w:pPr>
      <w:r>
        <w:t xml:space="preserve">[Sources]</w:t>
      </w:r>
    </w:p>
    <w:p>
      <w:pPr>
        <w:pStyle w:val="Notes"/>
      </w:pPr>
      <w:r>
        <w:t xml:space="preserve">- The Minto Pyramid Principle: Logic in Writing, Thinking and Problem Solving — Barbara Minto — 1987</w:t>
      </w:r>
    </w:p>
    <w:p>
      <w:pPr>
        <w:pStyle w:val="Tracker"/>
      </w:pPr>
      <w:r>
        <w:t xml:space="preserve">HOW AN LLM WORKS</w:t>
      </w:r>
    </w:p>
    <w:p>
      <w:pPr>
        <w:pStyle w:val="Heading1"/>
      </w:pPr>
      <w:r>
        <w:t xml:space="preserve">The context window caps what the model reads at once, so it caps your document and prompt design</w:t>
      </w:r>
    </w:p>
    <w:p>
      <w:pPr>
        <w:pStyle w:val="BodyText"/>
      </w:pPr>
      <w:r>
        <w:t xml:space="preserve">~4 chars</w:t>
      </w:r>
    </w:p>
    <w:p>
      <w:pPr>
        <w:pStyle w:val="BodyText"/>
      </w:pPr>
      <w:r>
        <w:t xml:space="preserve">A token is roughly four characters of English text</w:t>
      </w:r>
    </w:p>
    <w:p>
      <w:pPr>
        <w:pStyle w:val="Tracker"/>
      </w:pPr>
      <w:r>
        <w:t xml:space="preserve">8K–1M</w:t>
      </w:r>
    </w:p>
    <w:p>
      <w:pPr>
        <w:pStyle w:val="BodyText"/>
      </w:pPr>
      <w:r>
        <w:t xml:space="preserve">Context windows span 8K to 1M tokens across vendors</w:t>
      </w:r>
    </w:p>
    <w:p>
      <w:pPr>
        <w:pStyle w:val="BodyText"/>
      </w:pPr>
      <w:r>
        <w:t xml:space="preserve">Overflow forces a choice: chunk, summarise or retrieve</w:t>
      </w:r>
    </w:p>
    <w:p>
      <w:pPr>
        <w:pStyle w:val="BodyText"/>
      </w:pPr>
      <w:r>
        <w:t xml:space="preserve">Models read tokens, not words. One token is about four characters in English. A 1,000-word document is roughly 1,300 tokens. This determines how much text fits in a single request.</w:t>
      </w:r>
    </w:p>
    <w:p>
      <w:pPr>
        <w:pStyle w:val="BodyText"/>
      </w:pPr>
      <w:r>
        <w:t xml:space="preserve">GPT-4o: 128K; Claude: 200K; Gemini: 1M tokens. The window holds your system prompt, retrieved docs and question. Larger windows enable bigger documents and longer histories.</w:t>
      </w:r>
    </w:p>
    <w:p>
      <w:pPr>
        <w:pStyle w:val="BodyText"/>
      </w:pPr>
      <w:r>
        <w:t xml:space="preserve">When content exceeds the window, choose: compress via summarisation, split into chunks, or retrieve only relevant passages. This choice is the first architectural decision in your data pipeline.</w:t>
      </w:r>
    </w:p>
    <w:p>
      <w:pPr>
        <w:pStyle w:val="Source"/>
      </w:pPr>
      <w:r>
        <w:t xml:space="preserve">Source: </w:t>
      </w:r>
      <w:hyperlink r:id="rId11">
        <w:r>
          <w:rPr>
            <w:rStyle w:val="Hyperlink"/>
          </w:rPr>
          <w:t xml:space="preserve">OpenAI platform documentation — models and pricing (2024)</w:t>
        </w:r>
      </w:hyperlink>
      <w:r>
        <w:t xml:space="preserve">; </w:t>
      </w:r>
      <w:hyperlink r:id="rId12">
        <w:r>
          <w:rPr>
            <w:rStyle w:val="Hyperlink"/>
          </w:rPr>
          <w:t xml:space="preserve">Anthropic Claude model documentation (2024)</w:t>
        </w:r>
      </w:hyperlink>
      <w:r>
        <w:t xml:space="preserve">; </w:t>
      </w:r>
      <w:hyperlink r:id="rId13">
        <w:r>
          <w:rPr>
            <w:rStyle w:val="Hyperlink"/>
          </w:rPr>
          <w:t xml:space="preserve">Google AI — Gemini and long context documentation (2024)</w:t>
        </w:r>
      </w:hyperlink>
    </w:p>
    <w:p>
      <w:pPr>
        <w:pStyle w:val="Notes"/>
      </w:pPr>
      <w:r>
        <w:t xml:space="preserve">Anchor this with a physical analogy: the context window is a whiteboard in the room — the model can only reason about what is written on it right now, not what is in a filing cabinet. Everything the model will use in this request must fit on that whiteboard. The practical implication: long contracts, large codebases or big datasets cannot be handed to the model wholesale. The data pipeline must be designed around the window size. Source: OpenAI platform docs, Anthropic docs for vendor-specific window sizes.</w:t>
      </w:r>
    </w:p>
    <w:p>
      <w:pPr>
        <w:pStyle w:val="Notes"/>
      </w:pPr>
      <w:r>
        <w:t xml:space="preserve">[Sources]</w:t>
      </w:r>
    </w:p>
    <w:p>
      <w:pPr>
        <w:pStyle w:val="Notes"/>
      </w:pPr>
      <w:r>
        <w:t xml:space="preserve">- OpenAI platform documentation — models and pricing — OpenAI — 2024 — https://platform.openai.com/docs/models</w:t>
      </w:r>
    </w:p>
    <w:p>
      <w:pPr>
        <w:pStyle w:val="Notes"/>
      </w:pPr>
      <w:r>
        <w:t xml:space="preserve">- Anthropic Claude model documentation — Anthropic — 2024 — https://docs.anthropic.com/claude</w:t>
      </w:r>
    </w:p>
    <w:p>
      <w:pPr>
        <w:pStyle w:val="Notes"/>
      </w:pPr>
      <w:r>
        <w:t xml:space="preserve">- Google AI — Gemini and long context documentation — Google DeepMind — 2024 — https://ai.google.dev/models</w:t>
      </w:r>
    </w:p>
    <w:p>
      <w:pPr>
        <w:pStyle w:val="Tracker"/>
      </w:pPr>
      <w:r>
        <w:t xml:space="preserve">HOW AN LLM WORKS</w:t>
      </w:r>
    </w:p>
    <w:p>
      <w:pPr>
        <w:pStyle w:val="Heading1"/>
      </w:pPr>
      <w:r>
        <w:t xml:space="preserve">Training is a sunk cost you rarely pay; inference is the per-request bill you always pay</w:t>
      </w:r>
    </w:p>
    <w:p>
      <w:pPr>
        <w:pStyle w:val="BodyText"/>
      </w:pPr>
      <w:r>
        <w:t xml:space="preserve">One-off</w:t>
      </w:r>
    </w:p>
    <w:p>
      <w:pPr>
        <w:pStyle w:val="BodyText"/>
      </w:pPr>
      <w:r>
        <w:t xml:space="preserve">Training is a one-off cost already paid by the vendor</w:t>
      </w:r>
    </w:p>
    <w:p>
      <w:pPr>
        <w:pStyle w:val="BodyText"/>
      </w:pPr>
      <w:r>
        <w:t xml:space="preserve">$/token</w:t>
      </w:r>
    </w:p>
    <w:p>
      <w:pPr>
        <w:pStyle w:val="BodyText"/>
      </w:pPr>
      <w:r>
        <w:t xml:space="preserve">Inference bills on every API call you make</w:t>
      </w:r>
    </w:p>
    <w:p>
      <w:pPr>
        <w:pStyle w:val="BodyText"/>
      </w:pPr>
      <w:r>
        <w:t xml:space="preserve">Budget for inference, not training</w:t>
      </w:r>
    </w:p>
    <w:p>
      <w:pPr>
        <w:pStyle w:val="BodyText"/>
      </w:pPr>
      <w:r>
        <w:t xml:space="preserve">Frontier models are trained on trillions of tokens at a cost of tens of millions of dollars (Stanford HAI AI Index 2024). That cost is built into vendor pricing — your team does not re-run training on a typical project.</w:t>
      </w:r>
    </w:p>
    <w:p>
      <w:pPr>
        <w:pStyle w:val="BodyText"/>
      </w:pPr>
      <w:r>
        <w:t xml:space="preserve">You pay per token — input and output priced separately — on every user request. GPT-4o and Claude both operate this way (OpenAI, Anthropic pricing pages; vendor-dependent). Volume drives cost.</w:t>
      </w:r>
    </w:p>
    <w:p>
      <w:pPr>
        <w:pStyle w:val="BodyText"/>
      </w:pPr>
      <w:r>
        <w:t xml:space="preserve">Retrieving your data at request time (RAG) is faster, cheaper and easier to update than fine-tuning. Model your inference cost: tokens per request times volume times per-token price.</w:t>
      </w:r>
    </w:p>
    <w:p>
      <w:pPr>
        <w:pStyle w:val="Source"/>
      </w:pPr>
      <w:r>
        <w:t xml:space="preserve">Source: </w:t>
      </w:r>
      <w:hyperlink r:id="rId14">
        <w:r>
          <w:rPr>
            <w:rStyle w:val="Hyperlink"/>
          </w:rPr>
          <w:t xml:space="preserve">OpenAI platform documentation — models and pricing (2024)</w:t>
        </w:r>
      </w:hyperlink>
      <w:r>
        <w:t xml:space="preserve">; </w:t>
      </w:r>
      <w:hyperlink r:id="rId15">
        <w:r>
          <w:rPr>
            <w:rStyle w:val="Hyperlink"/>
          </w:rPr>
          <w:t xml:space="preserve">Anthropic Claude model documentation (2024)</w:t>
        </w:r>
      </w:hyperlink>
      <w:r>
        <w:t xml:space="preserve">; </w:t>
      </w:r>
      <w:hyperlink r:id="rId16">
        <w:r>
          <w:rPr>
            <w:rStyle w:val="Hyperlink"/>
          </w:rPr>
          <w:t xml:space="preserve">Stanford HAI AI Index Report 2024 (2024)</w:t>
        </w:r>
      </w:hyperlink>
    </w:p>
    <w:p>
      <w:pPr>
        <w:pStyle w:val="Notes"/>
      </w:pPr>
      <w:r>
        <w:t xml:space="preserve">This slide neutralises the most common misconception: that the team will need to train a model on company data. Almost no first project requires this. The decision this drives is budget: model inference costs — tokens per request multiplied by volume — and do not confuse that with a training investment. Source: Stanford HAI AI Index 2024 for training scale; OpenAI and Anthropic pricing pages for inference billing model.</w:t>
      </w:r>
    </w:p>
    <w:p>
      <w:pPr>
        <w:pStyle w:val="Notes"/>
      </w:pPr>
      <w:r>
        <w:t xml:space="preserve">[Sources]</w:t>
      </w:r>
    </w:p>
    <w:p>
      <w:pPr>
        <w:pStyle w:val="Notes"/>
      </w:pPr>
      <w:r>
        <w:t xml:space="preserve">- OpenAI platform documentation — models and pricing — OpenAI — 2024 — https://platform.openai.com/docs/models</w:t>
      </w:r>
    </w:p>
    <w:p>
      <w:pPr>
        <w:pStyle w:val="Notes"/>
      </w:pPr>
      <w:r>
        <w:t xml:space="preserve">- Anthropic Claude model documentation — Anthropic — 2024 — https://docs.anthropic.com/claude</w:t>
      </w:r>
    </w:p>
    <w:p>
      <w:pPr>
        <w:pStyle w:val="Notes"/>
      </w:pPr>
      <w:r>
        <w:t xml:space="preserve">- Stanford HAI AI Index Report 2024 — Stanford HAI — 2024 — https://aiindex.stanford.edu/report/</w:t>
      </w:r>
    </w:p>
    <w:p>
      <w:pPr>
        <w:pStyle w:val="Tracker"/>
      </w:pPr>
      <w:r>
        <w:t xml:space="preserve">HOW YOU SHAPE IT</w:t>
      </w:r>
    </w:p>
    <w:p>
      <w:pPr>
        <w:pStyle w:val="Heading1"/>
      </w:pPr>
      <w:r>
        <w:t xml:space="preserve">Retrieval, not re-training, is the default way to put your data in front of the model</w:t>
      </w:r>
    </w:p>
    <w:p>
      <w:pPr>
        <w:pStyle w:val="Figure"/>
      </w:pPr>
      <w:r>
        <w:drawing>
          <wp:inline distT="0" distB="0" distL="0" distR="0">
            <wp:extent cx="5760720" cy="3240486"/>
            <wp:docPr id="1" name="Slide 1" descr="Retrieval, not re-training, is the default way to put your data in front of the model"/>
            <wp:cNvGraphicFramePr>
              <a:graphicFrameLocks noChangeAspect="1"/>
            </wp:cNvGraphicFramePr>
            <a:graphic>
              <a:graphicData uri="http://schemas.openxmlformats.org/drawingml/2006/picture">
                <pic:pic>
                  <pic:nvPicPr>
                    <pic:cNvPr id="1" name="slide1.png" descr="Retrieval, not re-training, is the default way to put your data in front of the model"/>
                    <pic:cNvPicPr/>
                  </pic:nvPicPr>
                  <pic:blipFill>
                    <a:blip r:embed="rId17"/>
                    <a:stretch>
                      <a:fillRect/>
                    </a:stretch>
                  </pic:blipFill>
                  <pic:spPr>
                    <a:xfrm>
                      <a:off x="0" y="0"/>
                      <a:ext cx="5760720" cy="3240486"/>
                    </a:xfrm>
                    <a:prstGeom prst="rect">
                      <a:avLst/>
                    </a:prstGeom>
                    <a:ln w="6350">
                      <a:solidFill>
                        <a:srgbClr val="D0D5DD"/>
                      </a:solidFill>
                    </a:ln>
                  </pic:spPr>
                </pic:pic>
              </a:graphicData>
            </a:graphic>
          </wp:inline>
        </w:drawing>
      </w:r>
    </w:p>
    <w:p>
      <w:pPr>
        <w:pStyle w:val="Source"/>
      </w:pPr>
      <w:r>
        <w:t xml:space="preserve">Source: </w:t>
      </w:r>
      <w:hyperlink r:id="rId18">
        <w:r>
          <w:rPr>
            <w:rStyle w:val="Hyperlink"/>
          </w:rPr>
          <w:t xml:space="preserve">Retrieval-Augmented Generation for Knowledge-Intensive NLP Tasks (2020)</w:t>
        </w:r>
      </w:hyperlink>
      <w:r>
        <w:t xml:space="preserve">; </w:t>
      </w:r>
      <w:hyperlink r:id="rId19">
        <w:r>
          <w:rPr>
            <w:rStyle w:val="Hyperlink"/>
          </w:rPr>
          <w:t xml:space="preserve">OpenAI platform documentation — models and pricing (2024)</w:t>
        </w:r>
      </w:hyperlink>
      <w:r>
        <w:t xml:space="preserve">; </w:t>
      </w:r>
      <w:hyperlink r:id="rId20">
        <w:r>
          <w:rPr>
            <w:rStyle w:val="Hyperlink"/>
          </w:rPr>
          <w:t xml:space="preserve">Hugging Face fine-tuning and embeddings documentation (2024)</w:t>
        </w:r>
      </w:hyperlink>
    </w:p>
    <w:p>
      <w:pPr>
        <w:pStyle w:val="Notes"/>
      </w:pPr>
      <w:r>
        <w:t xml:space="preserve">RAG is the pattern that solves 'how do we use our internal documents without re-training?' Highlight step 4 as the insight: the model never stores your data — it reads it on each request from the context window. This means you can update documents without touching the model, and you can apply access controls at the retrieval layer. The practical decision this drives: do you have a document corpus, and what format is it in? RAG requires a chunking strategy, a refresh cadence and access control at retrieval. Source: Lewis et al. 2020 is the foundational RAG paper.</w:t>
      </w:r>
    </w:p>
    <w:p>
      <w:pPr>
        <w:pStyle w:val="Notes"/>
      </w:pPr>
      <w:r>
        <w:t xml:space="preserve">[Sources]</w:t>
      </w:r>
    </w:p>
    <w:p>
      <w:pPr>
        <w:pStyle w:val="Notes"/>
      </w:pPr>
      <w:r>
        <w:t xml:space="preserve">- Retrieval-Augmented Generation for Knowledge-Intensive NLP Tasks — Lewis et al., arXiv — 2020 — https://arxiv.org/abs/2005.11401</w:t>
      </w:r>
    </w:p>
    <w:p>
      <w:pPr>
        <w:pStyle w:val="Notes"/>
      </w:pPr>
      <w:r>
        <w:t xml:space="preserve">- OpenAI platform documentation — models and pricing — OpenAI — 2024 — https://platform.openai.com/docs/models</w:t>
      </w:r>
    </w:p>
    <w:p>
      <w:pPr>
        <w:pStyle w:val="Notes"/>
      </w:pPr>
      <w:r>
        <w:t xml:space="preserve">- Hugging Face fine-tuning and embeddings documentation — Hugging Face — 2024 — https://huggingface.co/docs</w:t>
      </w:r>
    </w:p>
    <w:p>
      <w:pPr>
        <w:pStyle w:val="Tracker"/>
      </w:pPr>
      <w:r>
        <w:t xml:space="preserve">HOW YOU SHAPE IT</w:t>
      </w:r>
    </w:p>
    <w:p>
      <w:pPr>
        <w:pStyle w:val="Heading1"/>
      </w:pPr>
      <w:r>
        <w:t xml:space="preserve">Try prompting first; fine-tune only when prompting plateaus on a stable task</w:t>
      </w:r>
    </w:p>
    <w:p>
      <w:pPr>
        <w:pStyle w:val="Figure"/>
      </w:pPr>
      <w:r>
        <w:drawing>
          <wp:inline distT="0" distB="0" distL="0" distR="0">
            <wp:extent cx="5760720" cy="3240486"/>
            <wp:docPr id="2" name="Slide 2" descr="Try prompting first; fine-tune only when prompting plateaus on a stable task"/>
            <wp:cNvGraphicFramePr>
              <a:graphicFrameLocks noChangeAspect="1"/>
            </wp:cNvGraphicFramePr>
            <a:graphic>
              <a:graphicData uri="http://schemas.openxmlformats.org/drawingml/2006/picture">
                <pic:pic>
                  <pic:nvPicPr>
                    <pic:cNvPr id="2" name="slide2.png" descr="Try prompting first; fine-tune only when prompting plateaus on a stable task"/>
                    <pic:cNvPicPr/>
                  </pic:nvPicPr>
                  <pic:blipFill>
                    <a:blip r:embed="rId21"/>
                    <a:stretch>
                      <a:fillRect/>
                    </a:stretch>
                  </pic:blipFill>
                  <pic:spPr>
                    <a:xfrm>
                      <a:off x="0" y="0"/>
                      <a:ext cx="5760720" cy="3240486"/>
                    </a:xfrm>
                    <a:prstGeom prst="rect">
                      <a:avLst/>
                    </a:prstGeom>
                    <a:ln w="6350">
                      <a:solidFill>
                        <a:srgbClr val="D0D5DD"/>
                      </a:solidFill>
                    </a:ln>
                  </pic:spPr>
                </pic:pic>
              </a:graphicData>
            </a:graphic>
          </wp:inline>
        </w:drawing>
      </w:r>
    </w:p>
    <w:p>
      <w:pPr>
        <w:pStyle w:val="Source"/>
      </w:pPr>
      <w:r>
        <w:t xml:space="preserve">Source: </w:t>
      </w:r>
      <w:hyperlink r:id="rId22">
        <w:r>
          <w:rPr>
            <w:rStyle w:val="Hyperlink"/>
          </w:rPr>
          <w:t xml:space="preserve">OpenAI platform documentation — models and pricing (2024)</w:t>
        </w:r>
      </w:hyperlink>
      <w:r>
        <w:t xml:space="preserve">; </w:t>
      </w:r>
      <w:hyperlink r:id="rId23">
        <w:r>
          <w:rPr>
            <w:rStyle w:val="Hyperlink"/>
          </w:rPr>
          <w:t xml:space="preserve">Hugging Face fine-tuning and embeddings documentation (2024)</w:t>
        </w:r>
      </w:hyperlink>
    </w:p>
    <w:p>
      <w:pPr>
        <w:pStyle w:val="Notes"/>
      </w:pPr>
      <w:r>
        <w:t xml:space="preserve">The key message is sequencing, not a permanent hierarchy. The audience often arrives expecting to fine-tune from day one because vendor marketing emphasises it. This slide reframes fine-tuning as a last resort after prompting and retrieval are exhausted. The practical gate for fine-tuning: you need hundreds of labelled examples, a stable task definition, and evidence that prompting has truly plateaued. Source: OpenAI and Anthropic official guides both recommend this sequence explicitly.</w:t>
      </w:r>
    </w:p>
    <w:p>
      <w:pPr>
        <w:pStyle w:val="Notes"/>
      </w:pPr>
      <w:r>
        <w:t xml:space="preserve">[Sources]</w:t>
      </w:r>
    </w:p>
    <w:p>
      <w:pPr>
        <w:pStyle w:val="Notes"/>
      </w:pPr>
      <w:r>
        <w:t xml:space="preserve">- OpenAI platform documentation — models and pricing — OpenAI — 2024 — https://platform.openai.com/docs/models</w:t>
      </w:r>
    </w:p>
    <w:p>
      <w:pPr>
        <w:pStyle w:val="Notes"/>
      </w:pPr>
      <w:r>
        <w:t xml:space="preserve">- Hugging Face fine-tuning and embeddings documentation — Hugging Face — 2024 — https://huggingface.co/docs</w:t>
      </w:r>
    </w:p>
    <w:p>
      <w:pPr>
        <w:pStyle w:val="Tracker"/>
      </w:pPr>
      <w:r>
        <w:t xml:space="preserve">HOW YOU SHAPE IT</w:t>
      </w:r>
    </w:p>
    <w:p>
      <w:pPr>
        <w:pStyle w:val="Heading1"/>
      </w:pPr>
      <w:r>
        <w:t xml:space="preserve">Treat confident wrong answers as a product risk and mitigate with retrieval, structure and checks</w:t>
      </w:r>
    </w:p>
    <w:p>
      <w:pPr>
        <w:pStyle w:val="BodyText"/>
      </w:pPr>
      <w:r>
        <w:t xml:space="preserve">Ground answers in retrieved sources</w:t>
      </w:r>
    </w:p>
    <w:p>
      <w:pPr>
        <w:pStyle w:val="BodyText"/>
      </w:pPr>
      <w:r>
        <w:t xml:space="preserve">Constrain the output with schemas</w:t>
      </w:r>
    </w:p>
    <w:p>
      <w:pPr>
        <w:pStyle w:val="BodyText"/>
      </w:pPr>
      <w:r>
        <w:t xml:space="preserve">Check with a second pass or external lookup</w:t>
      </w:r>
    </w:p>
    <w:p>
      <w:pPr>
        <w:pStyle w:val="BodyText"/>
      </w:pPr>
      <w:r>
        <w:t xml:space="preserve">Surface uncertainty honestly in the UX</w:t>
      </w:r>
    </w:p>
    <w:p>
      <w:pPr>
        <w:pStyle w:val="BodyText"/>
      </w:pPr>
      <w:r>
        <w:t xml:space="preserve">RAG constrains the model to facts in the retrieved text. Ask it to cite passages. If no relevant source is found, the system should say so rather than improvise. Grounding is the most effective single mitigation.</w:t>
      </w:r>
    </w:p>
    <w:p>
      <w:pPr>
        <w:pStyle w:val="BodyText"/>
      </w:pPr>
      <w:r>
        <w:t xml:space="preserve">Structured outputs (JSON schema, enum choices) remove space for invented values. Supply allowed labels for classification; supply field names and types for extraction. The model cannot hallucinate what it cannot choose.</w:t>
      </w:r>
    </w:p>
    <w:p>
      <w:pPr>
        <w:pStyle w:val="BodyText"/>
      </w:pPr>
      <w:r>
        <w:t xml:space="preserve">For high-stakes outputs, a second model call asks: 'Is this answer supported by the provided sources?' Validate extracted values against a database. Adds cost and latency but is right for regulated decisions.</w:t>
      </w:r>
    </w:p>
    <w:p>
      <w:pPr>
        <w:pStyle w:val="BodyText"/>
      </w:pPr>
      <w:r>
        <w:t xml:space="preserve">When confidence is low, show it. Labels like 'not found in our documents' or 'consult a specialist' shift accountability appropriately. Hiding uncertainty is a product design choice that amplifies risk.</w:t>
      </w:r>
    </w:p>
    <w:p>
      <w:pPr>
        <w:pStyle w:val="Source"/>
      </w:pPr>
      <w:r>
        <w:t xml:space="preserve">Source: </w:t>
      </w:r>
      <w:hyperlink r:id="rId24">
        <w:r>
          <w:rPr>
            <w:rStyle w:val="Hyperlink"/>
          </w:rPr>
          <w:t xml:space="preserve">OpenAI platform documentation — models and pricing (2024)</w:t>
        </w:r>
      </w:hyperlink>
      <w:r>
        <w:t xml:space="preserve">; </w:t>
      </w:r>
      <w:hyperlink r:id="rId25">
        <w:r>
          <w:rPr>
            <w:rStyle w:val="Hyperlink"/>
          </w:rPr>
          <w:t xml:space="preserve">Anthropic Claude model documentation (2024)</w:t>
        </w:r>
      </w:hyperlink>
    </w:p>
    <w:p>
      <w:pPr>
        <w:pStyle w:val="Notes"/>
      </w:pPr>
      <w:r>
        <w:t xml:space="preserve">Hallucination is the concept that most worries managers and most surprises engineers the first time they see it. The frame here is product risk, not model failure: every product team ships with known defect rates; the question is how you measure and bound hallucination rates for this specific task. The mitigation list is ordered by effectiveness and cost: retrieval-grounding is free if you already have RAG; structured output is a small prompt change; the second-pass check is a deliberate cost decision. Source: OpenAI and Anthropic system cards acknowledge hallucination risk in their own documentation.</w:t>
      </w:r>
    </w:p>
    <w:p>
      <w:pPr>
        <w:pStyle w:val="Notes"/>
      </w:pPr>
      <w:r>
        <w:t xml:space="preserve">[Sources]</w:t>
      </w:r>
    </w:p>
    <w:p>
      <w:pPr>
        <w:pStyle w:val="Notes"/>
      </w:pPr>
      <w:r>
        <w:t xml:space="preserve">- OpenAI platform documentation — models and pricing — OpenAI — 2024 — https://platform.openai.com/docs/models</w:t>
      </w:r>
    </w:p>
    <w:p>
      <w:pPr>
        <w:pStyle w:val="Notes"/>
      </w:pPr>
      <w:r>
        <w:t xml:space="preserve">- Anthropic Claude model documentation — Anthropic — 2024 — https://docs.anthropic.com/claude</w:t>
      </w:r>
    </w:p>
    <w:p>
      <w:pPr>
        <w:pStyle w:val="Tracker"/>
      </w:pPr>
      <w:r>
        <w:t xml:space="preserve">HOW YOU EXTEND IT</w:t>
      </w:r>
    </w:p>
    <w:p>
      <w:pPr>
        <w:pStyle w:val="Heading1"/>
      </w:pPr>
      <w:r>
        <w:t xml:space="preserve">Function calling turns the model from a writer into an actor on your systems</w:t>
      </w:r>
    </w:p>
    <w:p>
      <w:pPr>
        <w:pStyle w:val="Figure"/>
      </w:pPr>
      <w:r>
        <w:drawing>
          <wp:inline distT="0" distB="0" distL="0" distR="0">
            <wp:extent cx="5760720" cy="3240486"/>
            <wp:docPr id="3" name="Slide 3" descr="Function calling turns the model from a writer into an actor on your systems"/>
            <wp:cNvGraphicFramePr>
              <a:graphicFrameLocks noChangeAspect="1"/>
            </wp:cNvGraphicFramePr>
            <a:graphic>
              <a:graphicData uri="http://schemas.openxmlformats.org/drawingml/2006/picture">
                <pic:pic>
                  <pic:nvPicPr>
                    <pic:cNvPr id="3" name="slide3.png" descr="Function calling turns the model from a writer into an actor on your systems"/>
                    <pic:cNvPicPr/>
                  </pic:nvPicPr>
                  <pic:blipFill>
                    <a:blip r:embed="rId26"/>
                    <a:stretch>
                      <a:fillRect/>
                    </a:stretch>
                  </pic:blipFill>
                  <pic:spPr>
                    <a:xfrm>
                      <a:off x="0" y="0"/>
                      <a:ext cx="5760720" cy="3240486"/>
                    </a:xfrm>
                    <a:prstGeom prst="rect">
                      <a:avLst/>
                    </a:prstGeom>
                    <a:ln w="6350">
                      <a:solidFill>
                        <a:srgbClr val="D0D5DD"/>
                      </a:solidFill>
                    </a:ln>
                  </pic:spPr>
                </pic:pic>
              </a:graphicData>
            </a:graphic>
          </wp:inline>
        </w:drawing>
      </w:r>
    </w:p>
    <w:p>
      <w:pPr>
        <w:pStyle w:val="Source"/>
      </w:pPr>
      <w:r>
        <w:t xml:space="preserve">Source: </w:t>
      </w:r>
      <w:hyperlink r:id="rId27">
        <w:r>
          <w:rPr>
            <w:rStyle w:val="Hyperlink"/>
          </w:rPr>
          <w:t xml:space="preserve">OpenAI platform documentation — models and pricing (2024)</w:t>
        </w:r>
      </w:hyperlink>
      <w:r>
        <w:t xml:space="preserve">; </w:t>
      </w:r>
      <w:hyperlink r:id="rId28">
        <w:r>
          <w:rPr>
            <w:rStyle w:val="Hyperlink"/>
          </w:rPr>
          <w:t xml:space="preserve">Anthropic Claude model documentation (2024)</w:t>
        </w:r>
      </w:hyperlink>
    </w:p>
    <w:p>
      <w:pPr>
        <w:pStyle w:val="Notes"/>
      </w:pPr>
      <w:r>
        <w:t xml:space="preserve">Highlight step 2 as the architectural shift: the model is making a decision about which tool to call and what arguments to pass. This is not the model executing code directly — your application retains control of execution. The practical decision this drives: which internal APIs or data sources will you expose as tools? Each tool needs authentication, authorisation, rate limiting and an audit log. Start with read-only tools; add write tools only after the loop is validated. Source: OpenAI introduced function calling June 2023; Anthropic and Google followed with equivalent tool-use APIs.</w:t>
      </w:r>
    </w:p>
    <w:p>
      <w:pPr>
        <w:pStyle w:val="Notes"/>
      </w:pPr>
      <w:r>
        <w:t xml:space="preserve">[Sources]</w:t>
      </w:r>
    </w:p>
    <w:p>
      <w:pPr>
        <w:pStyle w:val="Notes"/>
      </w:pPr>
      <w:r>
        <w:t xml:space="preserve">- OpenAI platform documentation — models and pricing — OpenAI — 2024 — https://platform.openai.com/docs/models</w:t>
      </w:r>
    </w:p>
    <w:p>
      <w:pPr>
        <w:pStyle w:val="Notes"/>
      </w:pPr>
      <w:r>
        <w:t xml:space="preserve">- Anthropic Claude model documentation — Anthropic — 2024 — https://docs.anthropic.com/claude</w:t>
      </w:r>
    </w:p>
    <w:p>
      <w:pPr>
        <w:pStyle w:val="Tracker"/>
      </w:pPr>
      <w:r>
        <w:t xml:space="preserve">HOW YOU EXTEND IT</w:t>
      </w:r>
    </w:p>
    <w:p>
      <w:pPr>
        <w:pStyle w:val="Heading1"/>
      </w:pPr>
      <w:r>
        <w:t xml:space="preserve">An agent is a loop that plans, acts and checks itself; memory decides how far it can go</w:t>
      </w:r>
    </w:p>
    <w:p>
      <w:pPr>
        <w:pStyle w:val="Figure"/>
      </w:pPr>
      <w:r>
        <w:drawing>
          <wp:inline distT="0" distB="0" distL="0" distR="0">
            <wp:extent cx="5760720" cy="3240486"/>
            <wp:docPr id="4" name="Slide 4" descr="An agent is a loop that plans, acts and checks itself; memory decides how far it can go"/>
            <wp:cNvGraphicFramePr>
              <a:graphicFrameLocks noChangeAspect="1"/>
            </wp:cNvGraphicFramePr>
            <a:graphic>
              <a:graphicData uri="http://schemas.openxmlformats.org/drawingml/2006/picture">
                <pic:pic>
                  <pic:nvPicPr>
                    <pic:cNvPr id="4" name="slide4.png" descr="An agent is a loop that plans, acts and checks itself; memory decides how far it can go"/>
                    <pic:cNvPicPr/>
                  </pic:nvPicPr>
                  <pic:blipFill>
                    <a:blip r:embed="rId29"/>
                    <a:stretch>
                      <a:fillRect/>
                    </a:stretch>
                  </pic:blipFill>
                  <pic:spPr>
                    <a:xfrm>
                      <a:off x="0" y="0"/>
                      <a:ext cx="5760720" cy="3240486"/>
                    </a:xfrm>
                    <a:prstGeom prst="rect">
                      <a:avLst/>
                    </a:prstGeom>
                    <a:ln w="6350">
                      <a:solidFill>
                        <a:srgbClr val="D0D5DD"/>
                      </a:solidFill>
                    </a:ln>
                  </pic:spPr>
                </pic:pic>
              </a:graphicData>
            </a:graphic>
          </wp:inline>
        </w:drawing>
      </w:r>
    </w:p>
    <w:p>
      <w:pPr>
        <w:pStyle w:val="Source"/>
      </w:pPr>
      <w:r>
        <w:t xml:space="preserve">Source: </w:t>
      </w:r>
      <w:hyperlink r:id="rId30">
        <w:r>
          <w:rPr>
            <w:rStyle w:val="Hyperlink"/>
          </w:rPr>
          <w:t xml:space="preserve">ReAct: Synergizing Reasoning and Acting in Language Models (2022)</w:t>
        </w:r>
      </w:hyperlink>
      <w:r>
        <w:t xml:space="preserve">; </w:t>
      </w:r>
      <w:hyperlink r:id="rId31">
        <w:r>
          <w:rPr>
            <w:rStyle w:val="Hyperlink"/>
          </w:rPr>
          <w:t xml:space="preserve">Anthropic Claude model documentation (2024)</w:t>
        </w:r>
      </w:hyperlink>
    </w:p>
    <w:p>
      <w:pPr>
        <w:pStyle w:val="Notes"/>
      </w:pPr>
      <w:r>
        <w:t xml:space="preserve">The ReAct pattern — reason, act, observe — is the standard framework for agent design and is cited in virtually all agent tutorials and research. Highlight step 4 as the design crux: the context window is the agent's short-term memory. When the context fills, the agent loses track of earlier steps unless you implement external memory (a database of past observations). The decisions this drives are: maximum steps before a human reviews, what memory store persists between sessions, and where human approval is required before an action executes. Source: Yao et al. 2022 coined ReAct.</w:t>
      </w:r>
    </w:p>
    <w:p>
      <w:pPr>
        <w:pStyle w:val="Notes"/>
      </w:pPr>
      <w:r>
        <w:t xml:space="preserve">[Sources]</w:t>
      </w:r>
    </w:p>
    <w:p>
      <w:pPr>
        <w:pStyle w:val="Notes"/>
      </w:pPr>
      <w:r>
        <w:t xml:space="preserve">- ReAct: Synergizing Reasoning and Acting in Language Models — Yao et al., arXiv — 2022 — https://arxiv.org/abs/2210.03629</w:t>
      </w:r>
    </w:p>
    <w:p>
      <w:pPr>
        <w:pStyle w:val="Notes"/>
      </w:pPr>
      <w:r>
        <w:t xml:space="preserve">- Anthropic Claude model documentation — Anthropic — 2024 — https://docs.anthropic.com/claude</w:t>
      </w:r>
    </w:p>
    <w:p>
      <w:pPr>
        <w:pStyle w:val="Tracker"/>
      </w:pPr>
      <w:r>
        <w:t xml:space="preserve">HOW YOU SHIP IT</w:t>
      </w:r>
    </w:p>
    <w:p>
      <w:pPr>
        <w:pStyle w:val="Heading1"/>
      </w:pPr>
      <w:r>
        <w:t xml:space="preserve">If you cannot measure quality on a fixed test set, you cannot ship or improve the system</w:t>
      </w:r>
    </w:p>
    <w:p>
      <w:pPr>
        <w:pStyle w:val="BodyText"/>
      </w:pPr>
      <w:r>
        <w:t xml:space="preserve">Build a frozen test set before writing any prompts</w:t>
      </w:r>
    </w:p>
    <w:p>
      <w:pPr>
        <w:pStyle w:val="BodyText"/>
      </w:pPr>
      <w:r>
        <w:t xml:space="preserve">Fixed Q&amp;A pairs created before build are your only honest measure. Tuning on your test examples measures memorisation, not generalisation. Target 50–200 examples depending on task complexity.</w:t>
      </w:r>
    </w:p>
    <w:p>
      <w:pPr>
        <w:pStyle w:val="BodyText"/>
      </w:pPr>
      <w:r>
        <w:t xml:space="preserve">Mix automated metrics with human review</w:t>
      </w:r>
    </w:p>
    <w:p>
      <w:pPr>
        <w:pStyle w:val="BodyText"/>
      </w:pPr>
      <w:r>
        <w:t xml:space="preserve">Automated checks — exact match, semantic similarity, factual consistency — run fast in CI. Human review catches errors automation misses: tone, coherence, unsafe outputs. Both are needed; neither is sufficient.</w:t>
      </w:r>
    </w:p>
    <w:p>
      <w:pPr>
        <w:pStyle w:val="BodyText"/>
      </w:pPr>
      <w:r>
        <w:t xml:space="preserve">Run the test set before every change, not just at launch</w:t>
      </w:r>
    </w:p>
    <w:p>
      <w:pPr>
        <w:pStyle w:val="BodyText"/>
      </w:pPr>
      <w:r>
        <w:t xml:space="preserve">Prompt changes, model upgrades and new data can degrade quality silently. Treating the test set as a regression gate — like unit tests in software — catches regressions before they reach users.</w:t>
      </w:r>
    </w:p>
    <w:p>
      <w:pPr>
        <w:pStyle w:val="BodyText"/>
      </w:pPr>
      <w:r>
        <w:t xml:space="preserve">Monitor production quality after launch</w:t>
      </w:r>
    </w:p>
    <w:p>
      <w:pPr>
        <w:pStyle w:val="BodyText"/>
      </w:pPr>
      <w:r>
        <w:t xml:space="preserve">A static test set cannot cover the full distribution of real queries. Sample production outputs and route a fraction to human review. Track metrics over time; plan for model deprecations that force re-evaluation.</w:t>
      </w:r>
    </w:p>
    <w:p>
      <w:pPr>
        <w:pStyle w:val="Source"/>
      </w:pPr>
      <w:r>
        <w:t xml:space="preserve">Source: </w:t>
      </w:r>
      <w:hyperlink r:id="rId32">
        <w:r>
          <w:rPr>
            <w:rStyle w:val="Hyperlink"/>
          </w:rPr>
          <w:t xml:space="preserve">Stanford HAI AI Index Report 2024 (2024)</w:t>
        </w:r>
      </w:hyperlink>
      <w:r>
        <w:t xml:space="preserve">; </w:t>
      </w:r>
      <w:hyperlink r:id="rId33">
        <w:r>
          <w:rPr>
            <w:rStyle w:val="Hyperlink"/>
          </w:rPr>
          <w:t xml:space="preserve">OpenAI platform documentation — models and pricing (2024)</w:t>
        </w:r>
      </w:hyperlink>
    </w:p>
    <w:p>
      <w:pPr>
        <w:pStyle w:val="Notes"/>
      </w:pPr>
      <w:r>
        <w:t xml:space="preserve">This slide often surprises engineering teams who assume that because the model 'feels right' during development it is ready to ship. The frozen test set is the acceptance criterion: the team agrees in advance on the pass threshold, and the system does not go live until it meets it. For managers, frame this as the equivalent of a UAT sign-off. The number of examples depends on the task — a narrow extraction task may need only 50; an open-ended Q&amp;A system may need hundreds. Source: Stanford AI Index 2024 cites evaluation gaps as a top barrier.</w:t>
      </w:r>
    </w:p>
    <w:p>
      <w:pPr>
        <w:pStyle w:val="Notes"/>
      </w:pPr>
      <w:r>
        <w:t xml:space="preserve">[Sources]</w:t>
      </w:r>
    </w:p>
    <w:p>
      <w:pPr>
        <w:pStyle w:val="Notes"/>
      </w:pPr>
      <w:r>
        <w:t xml:space="preserve">- Stanford HAI AI Index Report 2024 — Stanford HAI — 2024 — https://aiindex.stanford.edu/report/</w:t>
      </w:r>
    </w:p>
    <w:p>
      <w:pPr>
        <w:pStyle w:val="Notes"/>
      </w:pPr>
      <w:r>
        <w:t xml:space="preserve">- OpenAI platform documentation — models and pricing — OpenAI — 2024 — https://platform.openai.com/docs/models</w:t>
      </w:r>
    </w:p>
    <w:p>
      <w:pPr>
        <w:pStyle w:val="Tracker"/>
      </w:pPr>
      <w:r>
        <w:t xml:space="preserve">HOW YOU SHIP IT</w:t>
      </w:r>
    </w:p>
    <w:p>
      <w:pPr>
        <w:pStyle w:val="Heading1"/>
      </w:pPr>
      <w:r>
        <w:t xml:space="preserve">Guardrails, cost and latency are the three gates every AI feature passes before launch</w:t>
      </w:r>
    </w:p>
    <w:p>
      <w:pPr>
        <w:pStyle w:val="Tracker"/>
      </w:pPr>
      <w:r>
        <w:t xml:space="preserve">DECISION REQUESTED</w:t>
      </w:r>
    </w:p>
    <w:p>
      <w:pPr>
        <w:pStyle w:val="BodyText"/>
      </w:pPr>
      <w:r>
        <w:t xml:space="preserve">Confirm alignment on these ten concepts, assign owners for guardrails, cost and latency, and schedule the project kickoff</w:t>
      </w:r>
    </w:p>
    <w:p>
      <w:pPr>
        <w:pStyle w:val="BodyText"/>
      </w:pPr>
      <w:r>
        <w:t xml:space="preserve">1</w:t>
      </w:r>
    </w:p>
    <w:p>
      <w:pPr>
        <w:pStyle w:val="BodyText"/>
      </w:pPr>
      <w:r>
        <w:t xml:space="preserve">Define guardrails: prompt injection tests, PII masking, content policy thresholds</w:t>
      </w:r>
    </w:p>
    <w:p>
      <w:pPr>
        <w:pStyle w:val="BodyText"/>
      </w:pPr>
      <w:r>
        <w:t xml:space="preserve">Product lead · Before kickoff</w:t>
      </w:r>
    </w:p>
    <w:p>
      <w:pPr>
        <w:pStyle w:val="BodyText"/>
      </w:pPr>
      <w:r>
        <w:t xml:space="preserve">2</w:t>
      </w:r>
    </w:p>
    <w:p>
      <w:pPr>
        <w:pStyle w:val="BodyText"/>
      </w:pPr>
      <w:r>
        <w:t xml:space="preserve">Set inference cost budget per request; configure usage alerts (44% cite cost unpredictability)</w:t>
      </w:r>
    </w:p>
    <w:p>
      <w:pPr>
        <w:pStyle w:val="BodyText"/>
      </w:pPr>
      <w:r>
        <w:t xml:space="preserve">Engineering lead · Before kickoff</w:t>
      </w:r>
    </w:p>
    <w:p>
      <w:pPr>
        <w:pStyle w:val="BodyText"/>
      </w:pPr>
      <w:r>
        <w:t xml:space="preserve">3</w:t>
      </w:r>
    </w:p>
    <w:p>
      <w:pPr>
        <w:pStyle w:val="BodyText"/>
      </w:pPr>
      <w:r>
        <w:t xml:space="preserve">Agree latency SLA and identify caching or fallback strategy when the model is slow</w:t>
      </w:r>
    </w:p>
    <w:p>
      <w:pPr>
        <w:pStyle w:val="BodyText"/>
      </w:pPr>
      <w:r>
        <w:t xml:space="preserve">Engineering lead · Before kickoff</w:t>
      </w:r>
    </w:p>
    <w:p>
      <w:pPr>
        <w:pStyle w:val="BodyText"/>
      </w:pPr>
      <w:r>
        <w:t xml:space="preserve">4</w:t>
      </w:r>
    </w:p>
    <w:p>
      <w:pPr>
        <w:pStyle w:val="BodyText"/>
      </w:pPr>
      <w:r>
        <w:t xml:space="preserve">Schedule pre-launch eval review against frozen test set and the three gate criteria</w:t>
      </w:r>
    </w:p>
    <w:p>
      <w:pPr>
        <w:pStyle w:val="BodyText"/>
      </w:pPr>
      <w:r>
        <w:t xml:space="preserve">Project sponsor · Before launch</w:t>
      </w:r>
    </w:p>
    <w:p>
      <w:pPr>
        <w:pStyle w:val="BodyText"/>
      </w:pPr>
      <w:r>
        <w:t xml:space="preserve">5</w:t>
      </w:r>
    </w:p>
    <w:p>
      <w:pPr>
        <w:pStyle w:val="BodyText"/>
      </w:pPr>
      <w:r>
        <w:t xml:space="preserve">Assign on-call owner for post-launch monitoring of quality, cost and guardrail alerts</w:t>
      </w:r>
    </w:p>
    <w:p>
      <w:pPr>
        <w:pStyle w:val="BodyText"/>
      </w:pPr>
      <w:r>
        <w:t xml:space="preserve">To be named · At launch</w:t>
      </w:r>
    </w:p>
    <w:p>
      <w:pPr>
        <w:pStyle w:val="Source"/>
      </w:pPr>
      <w:r>
        <w:t xml:space="preserve">Source: </w:t>
      </w:r>
      <w:hyperlink r:id="rId34">
        <w:r>
          <w:rPr>
            <w:rStyle w:val="Hyperlink"/>
          </w:rPr>
          <w:t xml:space="preserve">OpenAI platform documentation — models and pricing (2024)</w:t>
        </w:r>
      </w:hyperlink>
      <w:r>
        <w:t xml:space="preserve">; </w:t>
      </w:r>
      <w:hyperlink r:id="rId35">
        <w:r>
          <w:rPr>
            <w:rStyle w:val="Hyperlink"/>
          </w:rPr>
          <w:t xml:space="preserve">Anthropic Claude model documentation (2024)</w:t>
        </w:r>
      </w:hyperlink>
      <w:r>
        <w:t xml:space="preserve">; </w:t>
      </w:r>
      <w:hyperlink r:id="rId36">
        <w:r>
          <w:rPr>
            <w:rStyle w:val="Hyperlink"/>
          </w:rPr>
          <w:t xml:space="preserve">McKinsey Global Survey on AI 2024 (2024)</w:t>
        </w:r>
      </w:hyperlink>
      <w:r>
        <w:t xml:space="preserve">; </w:t>
      </w:r>
      <w:hyperlink r:id="rId37">
        <w:r>
          <w:rPr>
            <w:rStyle w:val="Hyperlink"/>
          </w:rPr>
          <w:t xml:space="preserve">OWASP LLM Top 10 2025 (2025)</w:t>
        </w:r>
      </w:hyperlink>
    </w:p>
    <w:p>
      <w:pPr>
        <w:pStyle w:val="Notes"/>
      </w:pPr>
      <w:r>
        <w:t xml:space="preserve">Close with the three gates as a checklist, not a warning. Guardrails cover the safety and policy surface: prompt injection (OWASP LLM Top 10 #1, 2025), PII in outputs, content that violates your policy. Cost covers per-request economics and the cumulative monthly bill. Latency covers the user experience: what is an acceptable wait time, and what happens when the model is slow or unavailable. If the team can answer all three before launch, the feature is ready.</w:t>
      </w:r>
    </w:p>
    <w:p>
      <w:pPr>
        <w:pStyle w:val="Notes"/>
      </w:pPr>
      <w:r>
        <w:t xml:space="preserve">[Sources]</w:t>
      </w:r>
    </w:p>
    <w:p>
      <w:pPr>
        <w:pStyle w:val="Notes"/>
      </w:pPr>
      <w:r>
        <w:t xml:space="preserve">- OpenAI platform documentation — models and pricing — OpenAI — 2024 — https://platform.openai.com/docs/models</w:t>
      </w:r>
    </w:p>
    <w:p>
      <w:pPr>
        <w:pStyle w:val="Notes"/>
      </w:pPr>
      <w:r>
        <w:t xml:space="preserve">- Anthropic Claude model documentation — Anthropic — 2024 — https://docs.anthropic.com/claude</w:t>
      </w:r>
    </w:p>
    <w:p>
      <w:pPr>
        <w:pStyle w:val="Notes"/>
      </w:pPr>
      <w:r>
        <w:t xml:space="preserve">- McKinsey Global Survey on AI 2024 — McKinsey — 2024 — https://www.mckinsey.com/capabilities/quantumblack/our-insights/state-of-ai</w:t>
      </w:r>
    </w:p>
    <w:p>
      <w:pPr>
        <w:pStyle w:val="Notes"/>
      </w:pPr>
      <w:r>
        <w:t xml:space="preserve">- OWASP LLM Top 10 2025 — OWASP Foundation — 2025 — https://owasp.org/www-project-top-10-for-large-language-model-applications/</w:t>
      </w:r>
    </w:p>
    <w:sectPr>
      <w:pgSz w:w="11906" w:h="16838"/>
      <w:pgMar w:top="1134" w:right="1021" w:bottom="1134" w:left="1021"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60"/>
      </w:pPr>
    </w:lvl>
  </w:abstractNum>
  <w:num w:numId="1">
    <w:abstractNumId w:val="0"/>
  </w:num>
</w:numbering>
</file>

<file path=word/styles.xml><?xml version="1.0" encoding="utf-8"?>
<w:styles xmlns:w="http://schemas.openxmlformats.org/wordprocessingml/2006/main">
  <w:docDefaults>
    <w:rPrDefault>
      <w:rPr>
        <w:rFonts w:ascii="Arial" w:hAnsi="Arial" w:cs="Arial" w:eastAsia="Arial"/>
        <w:sz w:val="21"/>
        <w:color w:val="0B1F3A"/>
        <w:lang w:val="en"/>
      </w:rPr>
    </w:rPrDefault>
    <w:pPrDefault>
      <w:pPr>
        <w:spacing w:after="120" w:line="276" w:lineRule="auto"/>
      </w:pPr>
    </w:pPrDefault>
  </w:docDefaults>
  <w:style w:type="paragraph" w:default="1" w:styleId="Normal">
    <w:name w:val="Normal"/>
    <w:qFormat/>
  </w:style>
  <w:style w:type="paragraph" w:customStyle="0" w:styleId="Title">
    <w:name w:val="Title"/>
    <w:basedOn w:val="Normal"/>
    <w:qFormat/>
    <w:pPr>
      <w:spacing w:after="160"/>
    </w:pPr>
    <w:rPr>
      <w:rFonts w:ascii="Arial" w:hAnsi="Arial"/>
      <w:b/>
      <w:sz w:val="52"/>
    </w:rPr>
  </w:style>
  <w:style w:type="paragraph" w:customStyle="0" w:styleId="Subtitle">
    <w:name w:val="Subtitle"/>
    <w:basedOn w:val="Normal"/>
    <w:qFormat/>
    <w:pPr>
      <w:spacing w:after="240"/>
    </w:pPr>
    <w:rPr>
      <w:color w:val="5B6B7F"/>
      <w:sz w:val="26"/>
    </w:rPr>
  </w:style>
  <w:style w:type="paragraph" w:customStyle="0" w:styleId="Heading1">
    <w:name w:val="heading 1"/>
    <w:basedOn w:val="Normal"/>
    <w:qFormat/>
    <w:pPr>
      <w:keepNext/>
      <w:spacing w:before="360" w:after="160"/>
      <w:outlineLvl w:val="0"/>
    </w:pPr>
    <w:rPr>
      <w:rFonts w:ascii="Arial" w:hAnsi="Arial"/>
      <w:b/>
      <w:sz w:val="30"/>
    </w:rPr>
  </w:style>
  <w:style w:type="paragraph" w:customStyle="1" w:styleId="Tracker">
    <w:name w:val="Tracker"/>
    <w:basedOn w:val="Normal"/>
    <w:qFormat/>
    <w:pPr>
      <w:keepNext/>
      <w:spacing w:before="320" w:after="0"/>
    </w:pPr>
    <w:rPr>
      <w:b/>
      <w:caps/>
      <w:color w:val="1F5FBF"/>
      <w:sz w:val="16"/>
    </w:rPr>
  </w:style>
  <w:style w:type="paragraph" w:customStyle="1" w:styleId="Lead">
    <w:name w:val="Lead"/>
    <w:basedOn w:val="Normal"/>
    <w:qFormat/>
    <w:pPr/>
    <w:rPr>
      <w:i/>
      <w:color w:val="5B6B7F"/>
      <w:sz w:val="22"/>
    </w:rPr>
  </w:style>
  <w:style w:type="paragraph" w:customStyle="0" w:styleId="BodyText">
    <w:name w:val="Body Text"/>
    <w:basedOn w:val="Normal"/>
    <w:qFormat/>
    <w:pPr/>
    <w:rPr/>
  </w:style>
  <w:style w:type="paragraph" w:customStyle="0" w:styleId="ListBullet">
    <w:name w:val="List Bullet"/>
    <w:basedOn w:val="Normal"/>
    <w:qFormat/>
    <w:pPr>
      <w:numPr>
        <w:ilvl w:val="0"/>
        <w:numId w:val="1"/>
      </w:numPr>
      <w:spacing w:after="80"/>
    </w:pPr>
    <w:rPr/>
  </w:style>
  <w:style w:type="paragraph" w:customStyle="1" w:styleId="TableText">
    <w:name w:val="Table Text"/>
    <w:basedOn w:val="Normal"/>
    <w:qFormat/>
    <w:pPr>
      <w:spacing w:after="0"/>
    </w:pPr>
    <w:rPr>
      <w:sz w:val="19"/>
    </w:rPr>
  </w:style>
  <w:style w:type="paragraph" w:customStyle="1" w:styleId="Figure">
    <w:name w:val="Figure"/>
    <w:basedOn w:val="Normal"/>
    <w:qFormat/>
    <w:pPr>
      <w:jc w:val="center"/>
      <w:spacing w:before="120" w:after="120"/>
    </w:pPr>
    <w:rPr/>
  </w:style>
  <w:style w:type="paragraph" w:customStyle="1" w:styleId="Source">
    <w:name w:val="Source"/>
    <w:basedOn w:val="Normal"/>
    <w:qFormat/>
    <w:pPr>
      <w:spacing w:after="120"/>
    </w:pPr>
    <w:rPr>
      <w:color w:val="5B6B7F"/>
      <w:sz w:val="16"/>
    </w:rPr>
  </w:style>
  <w:style w:type="paragraph" w:customStyle="1" w:styleId="Notes">
    <w:name w:val="Speaker Notes"/>
    <w:basedOn w:val="Normal"/>
    <w:qFormat/>
    <w:pPr>
      <w:pBdr>
        <w:left w:val="single" w:sz="12" w:space="8" w:color="C9D2DE"/>
      </w:pBdr>
      <w:ind w:left="200"/>
    </w:pPr>
    <w:rPr>
      <w:color w:val="5B6B7F"/>
      <w:sz w:val="19"/>
    </w:rPr>
  </w:style>
  <w:style w:type="character" w:styleId="Hyperlink">
    <w:name w:val="Hyperlink"/>
    <w:rPr>
      <w:color w:val="1F5FB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hyperlink" Target="https://www.mckinsey.com/capabilities/quantumblack/our-insights/state-of-ai" TargetMode="External"/><Relationship Id="rId11" Type="http://schemas.openxmlformats.org/officeDocument/2006/relationships/hyperlink" Target="https://platform.openai.com/docs/models" TargetMode="External"/><Relationship Id="rId12" Type="http://schemas.openxmlformats.org/officeDocument/2006/relationships/hyperlink" Target="https://docs.anthropic.com/claude" TargetMode="External"/><Relationship Id="rId13" Type="http://schemas.openxmlformats.org/officeDocument/2006/relationships/hyperlink" Target="https://ai.google.dev/models" TargetMode="External"/><Relationship Id="rId14" Type="http://schemas.openxmlformats.org/officeDocument/2006/relationships/hyperlink" Target="https://platform.openai.com/docs/models" TargetMode="External"/><Relationship Id="rId15" Type="http://schemas.openxmlformats.org/officeDocument/2006/relationships/hyperlink" Target="https://docs.anthropic.com/claude" TargetMode="External"/><Relationship Id="rId16" Type="http://schemas.openxmlformats.org/officeDocument/2006/relationships/hyperlink" Target="https://aiindex.stanford.edu/report/" TargetMode="External"/><Relationship Id="rId17" Type="http://schemas.openxmlformats.org/officeDocument/2006/relationships/image" Target="media/slide1.png"/><Relationship Id="rId18" Type="http://schemas.openxmlformats.org/officeDocument/2006/relationships/hyperlink" Target="https://arxiv.org/abs/2005.11401" TargetMode="External"/><Relationship Id="rId19" Type="http://schemas.openxmlformats.org/officeDocument/2006/relationships/hyperlink" Target="https://platform.openai.com/docs/models" TargetMode="External"/><Relationship Id="rId20" Type="http://schemas.openxmlformats.org/officeDocument/2006/relationships/hyperlink" Target="https://huggingface.co/docs" TargetMode="External"/><Relationship Id="rId21" Type="http://schemas.openxmlformats.org/officeDocument/2006/relationships/image" Target="media/slide2.png"/><Relationship Id="rId22" Type="http://schemas.openxmlformats.org/officeDocument/2006/relationships/hyperlink" Target="https://platform.openai.com/docs/models" TargetMode="External"/><Relationship Id="rId23" Type="http://schemas.openxmlformats.org/officeDocument/2006/relationships/hyperlink" Target="https://huggingface.co/docs" TargetMode="External"/><Relationship Id="rId24" Type="http://schemas.openxmlformats.org/officeDocument/2006/relationships/hyperlink" Target="https://platform.openai.com/docs/models" TargetMode="External"/><Relationship Id="rId25" Type="http://schemas.openxmlformats.org/officeDocument/2006/relationships/hyperlink" Target="https://docs.anthropic.com/claude" TargetMode="External"/><Relationship Id="rId26" Type="http://schemas.openxmlformats.org/officeDocument/2006/relationships/image" Target="media/slide3.png"/><Relationship Id="rId27" Type="http://schemas.openxmlformats.org/officeDocument/2006/relationships/hyperlink" Target="https://platform.openai.com/docs/models" TargetMode="External"/><Relationship Id="rId28" Type="http://schemas.openxmlformats.org/officeDocument/2006/relationships/hyperlink" Target="https://docs.anthropic.com/claude" TargetMode="External"/><Relationship Id="rId29" Type="http://schemas.openxmlformats.org/officeDocument/2006/relationships/image" Target="media/slide4.png"/><Relationship Id="rId30" Type="http://schemas.openxmlformats.org/officeDocument/2006/relationships/hyperlink" Target="https://arxiv.org/abs/2210.03629" TargetMode="External"/><Relationship Id="rId31" Type="http://schemas.openxmlformats.org/officeDocument/2006/relationships/hyperlink" Target="https://docs.anthropic.com/claude" TargetMode="External"/><Relationship Id="rId32" Type="http://schemas.openxmlformats.org/officeDocument/2006/relationships/hyperlink" Target="https://aiindex.stanford.edu/report/" TargetMode="External"/><Relationship Id="rId33" Type="http://schemas.openxmlformats.org/officeDocument/2006/relationships/hyperlink" Target="https://platform.openai.com/docs/models" TargetMode="External"/><Relationship Id="rId34" Type="http://schemas.openxmlformats.org/officeDocument/2006/relationships/hyperlink" Target="https://platform.openai.com/docs/models" TargetMode="External"/><Relationship Id="rId35" Type="http://schemas.openxmlformats.org/officeDocument/2006/relationships/hyperlink" Target="https://docs.anthropic.com/claude" TargetMode="External"/><Relationship Id="rId36" Type="http://schemas.openxmlformats.org/officeDocument/2006/relationships/hyperlink" Target="https://www.mckinsey.com/capabilities/quantumblack/our-insights/state-of-ai" TargetMode="External"/><Relationship Id="rId37" Type="http://schemas.openxmlformats.org/officeDocument/2006/relationships/hyperlink" Target="https://owasp.org/www-project-top-10-for-large-language-model-applications/" TargetMode="External"/></Relationships>
</file>

<file path=docProps/app.xml><?xml version="1.0" encoding="utf-8"?>
<Properties xmlns="http://schemas.openxmlformats.org/officeDocument/2006/extended-properties">
  <Application>SlideCraft 0.7.6</Application>
</Properties>
</file>

<file path=docProps/core.xml><?xml version="1.0" encoding="utf-8"?>
<cp:coreProperties xmlns:cp="http://schemas.openxmlformats.org/package/2006/metadata/core-properties" xmlns:dc="http://purl.org/dc/elements/1.1/" xmlns:dcterms="http://purl.org/dc/terms/" xmlns:xsi="http://www.w3.org/2001/XMLSchema-instance">
  <dc:title>Key concepts for LLMs and AI agents: the shared vocabulary your first project needs</dc:title>
  <dc:creator>SlideCraft</dc:creator>
  <dc:language>en</dc:language>
  <dcterms:created xsi:type="dcterms:W3CDTF">2026-01-01T00:00:00Z</dcterms:created>
  <dcterms:modified xsi:type="dcterms:W3CDTF">2026-01-01T00:00:00Z</dcterms:modified>
</cp:coreProperties>
</file>