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FDE-инженеры превращают ИИ-пилоты в работающие продукты</w:t>
      </w:r>
    </w:p>
    <w:p>
      <w:pPr>
        <w:pStyle w:val="Source"/>
      </w:pPr>
      <w:r>
        <w:t xml:space="preserve">Пример SlideCraft</w:t>
      </w:r>
    </w:p>
    <w:p>
      <w:pPr>
        <w:pStyle w:val="Tracker"/>
      </w:pPr>
      <w:r>
        <w:t xml:space="preserve">ПОЧЕМУ СЕЙЧАС</w:t>
      </w:r>
    </w:p>
    <w:p>
      <w:pPr>
        <w:pStyle w:val="Heading1"/>
      </w:pPr>
      <w:r>
        <w:t xml:space="preserve">ИИ-компании нанимают FDE, потому что большинство пилотов не доходит до продакшна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ИИ-компании нанимают FDE, потому что большинство пилотов не доходит до продакшн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ИИ-компании нанимают FDE, потому что большинство пилотов не доходит до продакшна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Источник: </w:t>
      </w:r>
      <w:hyperlink r:id="rId11">
        <w:r>
          <w:rPr>
            <w:rStyle w:val="Hyperlink"/>
          </w:rPr>
          <w:t xml:space="preserve">Postings for this AI job are up 800% (2025)</w:t>
        </w:r>
      </w:hyperlink>
      <w:r>
        <w:t xml:space="preserve">; </w:t>
      </w:r>
      <w:r>
        <w:t xml:space="preserve">The GenAI Divide: State of AI in Business 2025 (Aug 2025)</w:t>
      </w:r>
      <w:r>
        <w:t xml:space="preserve">; </w:t>
      </w:r>
      <w:hyperlink r:id="rId12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Оценки роста различаются в зависимости от источника данных; все показывают многократный рост. Главное — причина: пилоты не доходят до эксплуатации.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Postings for this AI job are up 800% — Fast Company, по данным Financial Times — 2025 — https://www.fastcompany.com/91435680/postings-for-this-ai-job-are-up-800</w:t>
      </w:r>
    </w:p>
    <w:p>
      <w:pPr>
        <w:pStyle w:val="Notes"/>
      </w:pPr>
      <w:r>
        <w:t xml:space="preserve">- The GenAI Divide: State of AI in Business 2025 — MIT NANDA — Aug 2025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ЧТО ЭТО ЗА РОЛЬ</w:t>
      </w:r>
    </w:p>
    <w:p>
      <w:pPr>
        <w:pStyle w:val="Heading1"/>
      </w:pPr>
      <w:r>
        <w:t xml:space="preserve">FDE выпускает рабочий софт прямо в процессах заказчика</w:t>
      </w:r>
    </w:p>
    <w:tbl>
      <w:tblPr>
        <w:tblW w:w="9072" w:type="dxa"/>
        <w:tblBorders>
          <w:top w:val="single" w:sz="4" w:space="0" w:color="C9D2DE"/>
          <w:bottom w:val="single" w:sz="4" w:space="0" w:color="C9D2DE"/>
          <w:insideH w:val="single" w:sz="4" w:space="0" w:color="C9D2DE"/>
        </w:tblBorders>
        <w:tblCellMar>
          <w:top w:w="60" w:type="dxa"/>
          <w:bottom w:w="60" w:type="dxa"/>
        </w:tblCellMar>
      </w:tblPr>
      <w:tblGrid>
        <w:gridCol w:w="2380"/>
        <w:gridCol w:w="2082"/>
        <w:gridCol w:w="2380"/>
        <w:gridCol w:w="2231"/>
      </w:tblGrid>
      <w:tr>
        <w:trPr>
          <w:tblHeader/>
        </w:trPr>
        <w:tc>
          <w:tcPr>
            <w:tcW w:w="2380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Роль</w:t>
            </w:r>
          </w:p>
        </w:tc>
        <w:tc>
          <w:tcPr>
            <w:tcW w:w="2082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Где работает</w:t>
            </w:r>
          </w:p>
        </w:tc>
        <w:tc>
          <w:tcPr>
            <w:tcW w:w="2380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Что поставляет</w:t>
            </w:r>
          </w:p>
        </w:tc>
        <w:tc>
          <w:tcPr>
            <w:tcW w:w="2231" w:type="dxa"/>
            <w:shd w:val="clear" w:color="auto" w:fill="F2F5F9"/>
          </w:tcPr>
          <w:p>
            <w:pPr>
              <w:pStyle w:val="TableText"/>
            </w:pPr>
            <w:r>
              <w:rPr>
                <w:b/>
              </w:rPr>
              <w:t xml:space="preserve">Чем измеряется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Forward Deployed Engineer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В команде заказчика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Рабочий софт в продакшне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Использованием и эффектом для бизнеса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Продуктовый разработчик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В продуктовой команде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Функции для многих клиентов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Релизами и качеством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Пресейл-инженер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В цикле продаж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Демо и пилоты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Закрытыми сделками</w:t>
            </w:r>
          </w:p>
        </w:tc>
      </w:tr>
      <w:tr>
        <w:tc>
          <w:tcPr>
            <w:tcW w:w="2380" w:type="dxa"/>
          </w:tcPr>
          <w:p>
            <w:pPr>
              <w:pStyle w:val="TableText"/>
            </w:pPr>
            <w:r>
              <w:t xml:space="preserve">Консультант</w:t>
            </w:r>
          </w:p>
        </w:tc>
        <w:tc>
          <w:tcPr>
            <w:tcW w:w="2082" w:type="dxa"/>
          </w:tcPr>
          <w:p>
            <w:pPr>
              <w:pStyle w:val="TableText"/>
            </w:pPr>
            <w:r>
              <w:t xml:space="preserve">Рядом с клиентом</w:t>
            </w:r>
          </w:p>
        </w:tc>
        <w:tc>
          <w:tcPr>
            <w:tcW w:w="2380" w:type="dxa"/>
          </w:tcPr>
          <w:p>
            <w:pPr>
              <w:pStyle w:val="TableText"/>
            </w:pPr>
            <w:r>
              <w:t xml:space="preserve">Анализ и рекомендации</w:t>
            </w:r>
          </w:p>
        </w:tc>
        <w:tc>
          <w:tcPr>
            <w:tcW w:w="2231" w:type="dxa"/>
          </w:tcPr>
          <w:p>
            <w:pPr>
              <w:pStyle w:val="TableText"/>
            </w:pPr>
            <w:r>
              <w:t xml:space="preserve">Принятыми решениями</w:t>
            </w:r>
          </w:p>
        </w:tc>
      </w:tr>
    </w:tbl>
    <w:p/>
    <w:p>
      <w:pPr>
        <w:pStyle w:val="Source"/>
      </w:pPr>
      <w:r>
        <w:t xml:space="preserve">Источник: </w:t>
      </w:r>
      <w:hyperlink r:id="rId13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Частый вопрос — не переименованный ли это пресейл? Нет — FDE отвечает за использование в продакшне, а не за закрытие сделки.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ЧТО ДЕЛАЕТ</w:t>
      </w:r>
    </w:p>
    <w:p>
      <w:pPr>
        <w:pStyle w:val="Heading1"/>
      </w:pPr>
      <w:r>
        <w:t xml:space="preserve">Цикл FDE идёт от рабочего места пользователя до ядра продукта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Цикл FDE идёт от рабочего места пользователя до ядра продукт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Цикл FDE идёт от рабочего места пользователя до ядра продукта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Источник: </w:t>
      </w:r>
      <w:hyperlink r:id="rId15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На шаге 4 останавливается большинство пилотов; FDE оценивают именно по нему.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КОГО НАНИМАТЬ</w:t>
      </w:r>
    </w:p>
    <w:p>
      <w:pPr>
        <w:pStyle w:val="Heading1"/>
      </w:pPr>
      <w:r>
        <w:t xml:space="preserve">Профиль сочетает продакшн-разработку, прикладной ИИ и понимание заказчика</w:t>
      </w:r>
    </w:p>
    <w:p>
      <w:pPr>
        <w:pStyle w:val="BodyText"/>
      </w:pPr>
      <w:r>
        <w:t xml:space="preserve">Продакшн-разработка</w:t>
      </w:r>
    </w:p>
    <w:p>
      <w:pPr>
        <w:pStyle w:val="BodyText"/>
      </w:pPr>
      <w:r>
        <w:t xml:space="preserve">Прикладной ИИ</w:t>
      </w:r>
    </w:p>
    <w:p>
      <w:pPr>
        <w:pStyle w:val="BodyText"/>
      </w:pPr>
      <w:r>
        <w:t xml:space="preserve">Понимание заказчика</w:t>
      </w:r>
    </w:p>
    <w:p>
      <w:pPr>
        <w:pStyle w:val="BodyText"/>
      </w:pPr>
      <w:r>
        <w:t xml:space="preserve">Full-stack и работа с данными; интеграция с унаследованными системами и ответственность за надёжность после запуска</w:t>
      </w:r>
    </w:p>
    <w:p>
      <w:pPr>
        <w:pStyle w:val="BodyText"/>
      </w:pPr>
      <w:r>
        <w:t xml:space="preserve">API моделей, поиск по данным, оценка качества и ограничения — и понимание, когда модель не нужна</w:t>
      </w:r>
    </w:p>
    <w:p>
      <w:pPr>
        <w:pStyle w:val="BodyText"/>
      </w:pPr>
      <w:r>
        <w:t xml:space="preserve">Формулирует задачу с экспертами предметной области, объясняет компромиссы и отказывается от малоценных запросов</w:t>
      </w:r>
    </w:p>
    <w:p>
      <w:pPr>
        <w:pStyle w:val="Source"/>
      </w:pPr>
      <w:r>
        <w:t xml:space="preserve">Источник: </w:t>
      </w:r>
      <w:hyperlink r:id="rId16">
        <w:r>
          <w:rPr>
            <w:rStyle w:val="Hyperlink"/>
          </w:rPr>
          <w:t xml:space="preserve">What is a Forward Deployed AI Engineer? (2026)</w:t>
        </w:r>
      </w:hyperlink>
    </w:p>
    <w:p>
      <w:pPr>
        <w:pStyle w:val="Notes"/>
      </w:pPr>
      <w:r>
        <w:t xml:space="preserve">Сначала ищите сильного продакшн-инженера; прикладному ИИ научиться быстрее, чем пониманию заказчика.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What is a Forward Deployed AI Engineer? — Paraform — 2026 — https://www.paraform.com/blog/forward-deployed-ai-engineer</w:t>
      </w:r>
    </w:p>
    <w:p>
      <w:pPr>
        <w:pStyle w:val="Tracker"/>
      </w:pPr>
      <w:r>
        <w:t xml:space="preserve">ЧТО ДЕЛАТЬ</w:t>
      </w:r>
    </w:p>
    <w:p>
      <w:pPr>
        <w:pStyle w:val="Heading1"/>
      </w:pPr>
      <w:r>
        <w:t xml:space="preserve">Начните с одного FDE на самом ценном ИИ-сценарии</w:t>
      </w:r>
    </w:p>
    <w:p>
      <w:pPr>
        <w:pStyle w:val="Tracker"/>
      </w:pPr>
      <w:r>
        <w:t xml:space="preserve">ТРЕБУЕТСЯ РЕШЕНИЕ</w:t>
      </w:r>
    </w:p>
    <w:p>
      <w:pPr>
        <w:pStyle w:val="BodyText"/>
      </w:pPr>
      <w:r>
        <w:t xml:space="preserve">Запустить пилот с одним FDE-инженером на один квартал на одном процессе в продакшне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Выбрать один процесс с измеримой бизнес-метрикой</w:t>
      </w:r>
    </w:p>
    <w:p>
      <w:pPr>
        <w:pStyle w:val="BodyText"/>
      </w:pPr>
      <w:r>
        <w:t xml:space="preserve">Руководитель по ИИ · Месяц 1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Назначить или нанять инженера с опытом продакшна и ИИ</w:t>
      </w:r>
    </w:p>
    <w:p>
      <w:pPr>
        <w:pStyle w:val="BodyText"/>
      </w:pPr>
      <w:r>
        <w:t xml:space="preserve">CTO · Месяц 1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Встроить инженера в команду — владельца процесса</w:t>
      </w:r>
    </w:p>
    <w:p>
      <w:pPr>
        <w:pStyle w:val="BodyText"/>
      </w:pPr>
      <w:r>
        <w:t xml:space="preserve">Владелец процесса · Месяцы 1–2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Запустить в продакшн и еженедельно проверять метрику</w:t>
      </w:r>
    </w:p>
    <w:p>
      <w:pPr>
        <w:pStyle w:val="BodyText"/>
      </w:pPr>
      <w:r>
        <w:t xml:space="preserve">FDE · Месяцы 2–3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Решить: масштабировать, встроить в продукт или остановить</w:t>
      </w:r>
    </w:p>
    <w:p>
      <w:pPr>
        <w:pStyle w:val="BodyText"/>
      </w:pPr>
      <w:r>
        <w:t xml:space="preserve">Руководство · Конец квартала</w:t>
      </w:r>
    </w:p>
    <w:p>
      <w:pPr>
        <w:pStyle w:val="Notes"/>
      </w:pPr>
      <w:r>
        <w:t xml:space="preserve">Просим одного решения — пилот на квартал с названным процессом и метрикой.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0B1F3A"/>
        <w:lang w:val="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B6B7F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1F5FBF"/>
      <w:sz w:val="16"/>
    </w:rPr>
  </w:style>
  <w:style w:type="paragraph" w:customStyle="1" w:styleId="Lead">
    <w:name w:val="Lead"/>
    <w:basedOn w:val="Normal"/>
    <w:qFormat/>
    <w:pPr/>
    <w:rPr>
      <w:i/>
      <w:color w:val="5B6B7F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B6B7F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C9D2DE"/>
      </w:pBdr>
      <w:ind w:left="200"/>
    </w:pPr>
    <w:rPr>
      <w:color w:val="5B6B7F"/>
      <w:sz w:val="19"/>
    </w:rPr>
  </w:style>
  <w:style w:type="character" w:styleId="Hyperlink">
    <w:name w:val="Hyperlink"/>
    <w:rPr>
      <w:color w:val="1F5FB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hyperlink" Target="https://www.fastcompany.com/91435680/postings-for-this-ai-job-are-up-800" TargetMode="External"/><Relationship Id="rId12" Type="http://schemas.openxmlformats.org/officeDocument/2006/relationships/hyperlink" Target="https://www.paraform.com/blog/forward-deployed-ai-engineer" TargetMode="External"/><Relationship Id="rId13" Type="http://schemas.openxmlformats.org/officeDocument/2006/relationships/hyperlink" Target="https://www.paraform.com/blog/forward-deployed-ai-engineer" TargetMode="External"/><Relationship Id="rId14" Type="http://schemas.openxmlformats.org/officeDocument/2006/relationships/image" Target="media/slide2.png"/><Relationship Id="rId15" Type="http://schemas.openxmlformats.org/officeDocument/2006/relationships/hyperlink" Target="https://www.paraform.com/blog/forward-deployed-ai-engineer" TargetMode="External"/><Relationship Id="rId16" Type="http://schemas.openxmlformats.org/officeDocument/2006/relationships/hyperlink" Target="https://www.paraform.com/blog/forward-deployed-ai-engineer" TargetMode="External"/></Relationships>
</file>

<file path=docProps/app.xml><?xml version="1.0" encoding="utf-8"?>
<Properties xmlns="http://schemas.openxmlformats.org/officeDocument/2006/extended-properties">
  <Application>SlideCraft 0.7.7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FDE-инженеры превращают ИИ-пилоты в работающие продукты</dc:title>
  <dc:creator>Пример SlideCraft</dc:creator>
  <dc:language>ru</dc:language>
  <dcterms:created xsi:type="dcterms:W3CDTF">2026-01-01T00:00:00Z</dcterms:created>
  <dcterms:modified xsi:type="dcterms:W3CDTF">2026-01-01T00:00:00Z</dcterms:modified>
</cp:coreProperties>
</file>