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Forward Deployed Engineers turn AI pilots into working products</w:t>
      </w:r>
    </w:p>
    <w:p>
      <w:pPr>
        <w:pStyle w:val="Source"/>
      </w:pPr>
      <w:r>
        <w:t xml:space="preserve">SlideCraft example</w:t>
      </w:r>
    </w:p>
    <w:p>
      <w:pPr>
        <w:pStyle w:val="Tracker"/>
      </w:pPr>
      <w:r>
        <w:t xml:space="preserve">WHY NOW</w:t>
      </w:r>
    </w:p>
    <w:p>
      <w:pPr>
        <w:pStyle w:val="Heading1"/>
      </w:pPr>
      <w:r>
        <w:t xml:space="preserve">AI companies hire FDEs because most AI pilots stall before production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AI companies hire FDEs because most AI pilots stall before produc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AI companies hire FDEs because most AI pilots stall before production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1">
        <w:r>
          <w:rPr>
            <w:rStyle w:val="Hyperlink"/>
          </w:rPr>
          <w:t xml:space="preserve">Postings for this AI job are up 800% (2025)</w:t>
        </w:r>
      </w:hyperlink>
      <w:r>
        <w:t xml:space="preserve">; </w:t>
      </w:r>
      <w:r>
        <w:t xml:space="preserve">The GenAI Divide: State of AI in Business 2025 (Aug 2025)</w:t>
      </w:r>
      <w:r>
        <w:t xml:space="preserve">; </w:t>
      </w:r>
      <w:hyperlink r:id="rId12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The growth figures differ by dataset; all of them show a several-fold rise. The point is the cause — pilots that never reach production.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Postings for this AI job are up 800% — Fast Company, citing Financial Times data — 2025 — https://www.fastcompany.com/91435680/postings-for-this-ai-job-are-up-800</w:t>
      </w:r>
    </w:p>
    <w:p>
      <w:pPr>
        <w:pStyle w:val="Notes"/>
      </w:pPr>
      <w:r>
        <w:t xml:space="preserve">- The GenAI Divide: State of AI in Business 2025 — MIT NANDA — Aug 2025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WHAT IT IS</w:t>
      </w:r>
    </w:p>
    <w:p>
      <w:pPr>
        <w:pStyle w:val="Heading1"/>
      </w:pPr>
      <w:r>
        <w:t xml:space="preserve">An FDE ships production software inside the customer's workflow</w:t>
      </w:r>
    </w:p>
    <w:tbl>
      <w:tblPr>
        <w:tblW w:w="9072" w:type="dxa"/>
        <w:tblBorders>
          <w:top w:val="single" w:sz="4" w:space="0" w:color="C9D2DE"/>
          <w:bottom w:val="single" w:sz="4" w:space="0" w:color="C9D2DE"/>
          <w:insideH w:val="single" w:sz="4" w:space="0" w:color="C9D2DE"/>
        </w:tblBorders>
        <w:tblCellMar>
          <w:top w:w="60" w:type="dxa"/>
          <w:bottom w:w="60" w:type="dxa"/>
        </w:tblCellMar>
      </w:tblPr>
      <w:tblGrid>
        <w:gridCol w:w="2380"/>
        <w:gridCol w:w="2082"/>
        <w:gridCol w:w="2380"/>
        <w:gridCol w:w="2231"/>
      </w:tblGrid>
      <w:tr>
        <w:trPr>
          <w:tblHeader/>
        </w:trPr>
        <w:tc>
          <w:tcPr>
            <w:tcW w:w="2380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Role</w:t>
            </w:r>
          </w:p>
        </w:tc>
        <w:tc>
          <w:tcPr>
            <w:tcW w:w="2082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Works</w:t>
            </w:r>
          </w:p>
        </w:tc>
        <w:tc>
          <w:tcPr>
            <w:tcW w:w="2380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Delivers</w:t>
            </w:r>
          </w:p>
        </w:tc>
        <w:tc>
          <w:tcPr>
            <w:tcW w:w="2231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Judged by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Forward Deployed Engineer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With the customer's team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Working software in production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Adoption and business value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Software engineer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In the product team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Features for many customers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Releases and quality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Solutions engineer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In the sales cycle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Demos and proofs of concept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Deals closed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Consultant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Next to the client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Analysis and recommendations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Decisions taken</w:t>
            </w:r>
          </w:p>
        </w:tc>
      </w:tr>
    </w:tbl>
    <w:p/>
    <w:p>
      <w:pPr>
        <w:pStyle w:val="Source"/>
      </w:pPr>
      <w:r>
        <w:t xml:space="preserve">Source: </w:t>
      </w:r>
      <w:hyperlink r:id="rId13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Typical question — is this a rebranded solutions engineer? No — the FDE is accountable for production use, not for closing the deal.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WHAT THEY DO</w:t>
      </w:r>
    </w:p>
    <w:p>
      <w:pPr>
        <w:pStyle w:val="Heading1"/>
      </w:pPr>
      <w:r>
        <w:t xml:space="preserve">The FDE cycle runs from the user's desk to the core product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The FDE cycle runs from the user's desk to the core produ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The FDE cycle runs from the user's desk to the core produc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5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Step four is where most pilots stop; the FDE is measured on it.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WHO TO HIRE</w:t>
      </w:r>
    </w:p>
    <w:p>
      <w:pPr>
        <w:pStyle w:val="Heading1"/>
      </w:pPr>
      <w:r>
        <w:t xml:space="preserve">The profile combines production engineering, applied AI and customer judgement</w:t>
      </w:r>
    </w:p>
    <w:p>
      <w:pPr>
        <w:pStyle w:val="BodyText"/>
      </w:pPr>
      <w:r>
        <w:t xml:space="preserve">Production engineering</w:t>
      </w:r>
    </w:p>
    <w:p>
      <w:pPr>
        <w:pStyle w:val="BodyText"/>
      </w:pPr>
      <w:r>
        <w:t xml:space="preserve">Applied AI</w:t>
      </w:r>
    </w:p>
    <w:p>
      <w:pPr>
        <w:pStyle w:val="BodyText"/>
      </w:pPr>
      <w:r>
        <w:t xml:space="preserve">Customer judgement</w:t>
      </w:r>
    </w:p>
    <w:p>
      <w:pPr>
        <w:pStyle w:val="BodyText"/>
      </w:pPr>
      <w:r>
        <w:t xml:space="preserve">Full-stack and data skills; integrates with legacy systems and owns reliability after go-live</w:t>
      </w:r>
    </w:p>
    <w:p>
      <w:pPr>
        <w:pStyle w:val="BodyText"/>
      </w:pPr>
      <w:r>
        <w:t xml:space="preserve">Works with model APIs, retrieval, evaluations and guardrails — and knows when not to use a model</w:t>
      </w:r>
    </w:p>
    <w:p>
      <w:pPr>
        <w:pStyle w:val="BodyText"/>
      </w:pPr>
      <w:r>
        <w:t xml:space="preserve">Scopes problems with domain experts, explains trade-offs and says no to low-value requests</w:t>
      </w:r>
    </w:p>
    <w:p>
      <w:pPr>
        <w:pStyle w:val="Source"/>
      </w:pPr>
      <w:r>
        <w:t xml:space="preserve">Source: </w:t>
      </w:r>
      <w:hyperlink r:id="rId16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Hire for production engineering first; applied AI can be learned faster than customer judgement.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WHAT TO DO</w:t>
      </w:r>
    </w:p>
    <w:p>
      <w:pPr>
        <w:pStyle w:val="Heading1"/>
      </w:pPr>
      <w:r>
        <w:t xml:space="preserve">Start with one FDE on your highest-value AI use case</w:t>
      </w:r>
    </w:p>
    <w:p>
      <w:pPr>
        <w:pStyle w:val="Tracker"/>
      </w:pPr>
      <w:r>
        <w:t xml:space="preserve">DECISION REQUESTED</w:t>
      </w:r>
    </w:p>
    <w:p>
      <w:pPr>
        <w:pStyle w:val="BodyText"/>
      </w:pPr>
      <w:r>
        <w:t xml:space="preserve">Pilot one Forward Deployed Engineer for one quarter on a single production workflow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Pick one workflow with a measurable business metric</w:t>
      </w:r>
    </w:p>
    <w:p>
      <w:pPr>
        <w:pStyle w:val="BodyText"/>
      </w:pPr>
      <w:r>
        <w:t xml:space="preserve">Head of AI · Month 1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Assign or hire one engineer with production and AI experience</w:t>
      </w:r>
    </w:p>
    <w:p>
      <w:pPr>
        <w:pStyle w:val="BodyText"/>
      </w:pPr>
      <w:r>
        <w:t xml:space="preserve">CTO · Month 1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Embed the engineer with the team that owns the workflow</w:t>
      </w:r>
    </w:p>
    <w:p>
      <w:pPr>
        <w:pStyle w:val="BodyText"/>
      </w:pPr>
      <w:r>
        <w:t xml:space="preserve">Business owner · Month 1–2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Ship to production and review the metric every week</w:t>
      </w:r>
    </w:p>
    <w:p>
      <w:pPr>
        <w:pStyle w:val="BodyText"/>
      </w:pPr>
      <w:r>
        <w:t xml:space="preserve">FDE · Month 2–3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Decide: scale, turn into product, or stop</w:t>
      </w:r>
    </w:p>
    <w:p>
      <w:pPr>
        <w:pStyle w:val="BodyText"/>
      </w:pPr>
      <w:r>
        <w:t xml:space="preserve">Leadership team · End of quarter</w:t>
      </w:r>
    </w:p>
    <w:p>
      <w:pPr>
        <w:pStyle w:val="Notes"/>
      </w:pPr>
      <w:r>
        <w:t xml:space="preserve">Ask for one decision — a one-quarter pilot with a named workflow and metric.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B6B7F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1F5FBF"/>
      <w:sz w:val="16"/>
    </w:rPr>
  </w:style>
  <w:style w:type="paragraph" w:customStyle="1" w:styleId="Lead">
    <w:name w:val="Lead"/>
    <w:basedOn w:val="Normal"/>
    <w:qFormat/>
    <w:pPr/>
    <w:rPr>
      <w:i/>
      <w:color w:val="5B6B7F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B6B7F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D2DE"/>
      </w:pBdr>
      <w:ind w:left="200"/>
    </w:pPr>
    <w:rPr>
      <w:color w:val="5B6B7F"/>
      <w:sz w:val="19"/>
    </w:rPr>
  </w:style>
  <w:style w:type="character" w:styleId="Hyperlink">
    <w:name w:val="Hyperlink"/>
    <w:rPr>
      <w:color w:val="1F5FB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hyperlink" Target="https://www.fastcompany.com/91435680/postings-for-this-ai-job-are-up-800" TargetMode="External"/><Relationship Id="rId12" Type="http://schemas.openxmlformats.org/officeDocument/2006/relationships/hyperlink" Target="https://www.paraform.com/blog/forward-deployed-ai-engineer" TargetMode="External"/><Relationship Id="rId13" Type="http://schemas.openxmlformats.org/officeDocument/2006/relationships/hyperlink" Target="https://www.paraform.com/blog/forward-deployed-ai-engineer" TargetMode="External"/><Relationship Id="rId14" Type="http://schemas.openxmlformats.org/officeDocument/2006/relationships/image" Target="media/slide2.png"/><Relationship Id="rId15" Type="http://schemas.openxmlformats.org/officeDocument/2006/relationships/hyperlink" Target="https://www.paraform.com/blog/forward-deployed-ai-engineer" TargetMode="External"/><Relationship Id="rId16" Type="http://schemas.openxmlformats.org/officeDocument/2006/relationships/hyperlink" Target="https://www.paraform.com/blog/forward-deployed-ai-engineer" TargetMode="External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Forward Deployed Engineers turn AI pilots into working products</dc:title>
  <dc:creator>SlideCraft example</dc:creator>
  <dc:language>en</dc:language>
  <dcterms:created xsi:type="dcterms:W3CDTF">2026-01-01T00:00:00Z</dcterms:created>
  <dcterms:modified xsi:type="dcterms:W3CDTF">2026-01-01T00:00:00Z</dcterms:modified>
</cp:coreProperties>
</file>