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Forward Deployed Engineers turn AI pilots into working products</w:t>
      </w:r>
    </w:p>
    <w:p>
      <w:pPr>
        <w:pStyle w:val="Source"/>
      </w:pPr>
      <w:r>
        <w:t xml:space="preserve">SlideCraft example</w:t>
      </w:r>
    </w:p>
    <w:p>
      <w:pPr>
        <w:pStyle w:val="Tracker"/>
      </w:pPr>
      <w:r>
        <w:t xml:space="preserve">WHY NOW</w:t>
      </w:r>
    </w:p>
    <w:p>
      <w:pPr>
        <w:pStyle w:val="Heading1"/>
      </w:pPr>
      <w:r>
        <w:t xml:space="preserve">AI companies hire FDEs because most AI pilots stall before production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AI companies hire FDEs because most AI pilots stall before produc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AI companies hire FDEs because most AI pilots stall before production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11">
        <w:r>
          <w:rPr>
            <w:rStyle w:val="Hyperlink"/>
          </w:rPr>
          <w:t xml:space="preserve">Postings for this AI job are up 800% (2025)</w:t>
        </w:r>
      </w:hyperlink>
      <w:r>
        <w:t xml:space="preserve">; </w:t>
      </w:r>
      <w:r>
        <w:t xml:space="preserve">The GenAI Divide: State of AI in Business 2025 (Aug 2025)</w:t>
      </w:r>
      <w:r>
        <w:t xml:space="preserve">; </w:t>
      </w:r>
      <w:hyperlink r:id="rId12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The growth figures differ by dataset; all of them show a several-fold rise. The point is the cause — pilots that never reach production.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Postings for this AI job are up 800% — Fast Company, citing Financial Times data — 2025 — https://www.fastcompany.com/91435680/postings-for-this-ai-job-are-up-800</w:t>
      </w:r>
    </w:p>
    <w:p>
      <w:pPr>
        <w:pStyle w:val="Notes"/>
      </w:pPr>
      <w:r>
        <w:t xml:space="preserve">- The GenAI Divide: State of AI in Business 2025 — MIT NANDA — Aug 2025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WHERE IT FITS</w:t>
      </w:r>
    </w:p>
    <w:p>
      <w:pPr>
        <w:pStyle w:val="Heading1"/>
      </w:pPr>
      <w:r>
        <w:t xml:space="preserve">The FDE owns the middle of the AI value chain, where most pilots stall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The FDE owns the middle of the AI value chain, where most pilots stal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The FDE owns the middle of the AI value chain, where most pilots stall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14">
        <w:r>
          <w:rPr>
            <w:rStyle w:val="Hyperlink"/>
          </w:rPr>
          <w:t xml:space="preserve">What is a Forward Deployed AI Engineer? (2026)</w:t>
        </w:r>
      </w:hyperlink>
      <w:r>
        <w:t xml:space="preserve">; </w:t>
      </w:r>
      <w:r>
        <w:t xml:space="preserve">The GenAI Divide: State of AI in Business 2025 (Aug 2025)</w:t>
      </w:r>
    </w:p>
    <w:p>
      <w:pPr>
        <w:pStyle w:val="Notes"/>
      </w:pPr>
      <w:r>
        <w:t xml:space="preserve">The model is rarely the bottleneck. The work in the middle is where an embedded engineer changes the outcome.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Notes"/>
      </w:pPr>
      <w:r>
        <w:t xml:space="preserve">- The GenAI Divide: State of AI in Business 2025 — MIT NANDA — Aug 2025</w:t>
      </w:r>
    </w:p>
    <w:p>
      <w:pPr>
        <w:pStyle w:val="Tracker"/>
      </w:pPr>
      <w:r>
        <w:t xml:space="preserve">WHAT THEY DO</w:t>
      </w:r>
    </w:p>
    <w:p>
      <w:pPr>
        <w:pStyle w:val="Heading1"/>
      </w:pPr>
      <w:r>
        <w:t xml:space="preserve">The FDE cycle runs from the user's desk to the core product</w:t>
      </w:r>
    </w:p>
    <w:p>
      <w:pPr>
        <w:pStyle w:val="Figure"/>
      </w:pPr>
      <w:r>
        <w:drawing>
          <wp:inline distT="0" distB="0" distL="0" distR="0">
            <wp:extent cx="5760720" cy="3240486"/>
            <wp:docPr id="3" name="Slide 3" descr="The FDE cycle runs from the user's desk to the core produc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slide3.png" descr="The FDE cycle runs from the user's desk to the core produc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16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Step four is where most pilots stop; the FDE is measured on it.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WHO TO HIRE</w:t>
      </w:r>
    </w:p>
    <w:p>
      <w:pPr>
        <w:pStyle w:val="Heading1"/>
      </w:pPr>
      <w:r>
        <w:t xml:space="preserve">The profile combines production engineering, applied AI and customer judgement</w:t>
      </w:r>
    </w:p>
    <w:p>
      <w:pPr>
        <w:pStyle w:val="BodyText"/>
      </w:pPr>
      <w:r>
        <w:t xml:space="preserve">Production engineering</w:t>
      </w:r>
    </w:p>
    <w:p>
      <w:pPr>
        <w:pStyle w:val="BodyText"/>
      </w:pPr>
      <w:r>
        <w:t xml:space="preserve">Applied AI</w:t>
      </w:r>
    </w:p>
    <w:p>
      <w:pPr>
        <w:pStyle w:val="BodyText"/>
      </w:pPr>
      <w:r>
        <w:t xml:space="preserve">Customer judgement</w:t>
      </w:r>
    </w:p>
    <w:p>
      <w:pPr>
        <w:pStyle w:val="BodyText"/>
      </w:pPr>
      <w:r>
        <w:t xml:space="preserve">Full-stack and data skills; integrates with legacy systems and owns reliability after go-live</w:t>
      </w:r>
    </w:p>
    <w:p>
      <w:pPr>
        <w:pStyle w:val="BodyText"/>
      </w:pPr>
      <w:r>
        <w:t xml:space="preserve">Works with model APIs, retrieval, evaluations and guardrails — and knows when not to use a model</w:t>
      </w:r>
    </w:p>
    <w:p>
      <w:pPr>
        <w:pStyle w:val="BodyText"/>
      </w:pPr>
      <w:r>
        <w:t xml:space="preserve">Scopes problems with domain experts, explains trade-offs and says no to low-value requests</w:t>
      </w:r>
    </w:p>
    <w:p>
      <w:pPr>
        <w:pStyle w:val="Source"/>
      </w:pPr>
      <w:r>
        <w:t xml:space="preserve">Source: </w:t>
      </w:r>
      <w:hyperlink r:id="rId17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Hire for production engineering first; applied AI can be learned faster than customer judgement.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WHAT HAS TO CHANGE</w:t>
      </w:r>
    </w:p>
    <w:p>
      <w:pPr>
        <w:pStyle w:val="Heading1"/>
      </w:pPr>
      <w:r>
        <w:t xml:space="preserve">Strategy and platform are usually ready; staff placement and skills are not</w:t>
      </w:r>
    </w:p>
    <w:p>
      <w:pPr>
        <w:pStyle w:val="Figure"/>
      </w:pPr>
      <w:r>
        <w:drawing>
          <wp:inline distT="0" distB="0" distL="0" distR="0">
            <wp:extent cx="5760720" cy="3240486"/>
            <wp:docPr id="4" name="Slide 4" descr="Strategy and platform are usually ready; staff placement and skills are no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slide4.png" descr="Strategy and platform are usually ready; staff placement and skills are not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Pilot planning assumptions for a typical enterprise</w:t>
      </w:r>
    </w:p>
    <w:p>
      <w:pPr>
        <w:pStyle w:val="Notes"/>
      </w:pPr>
      <w:r>
        <w:t xml:space="preserve">A typical starting point, not a measured assessment — rate your own organisation before the pilot.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Pilot planning assumptions for a typical enterprise — illustrative data</w:t>
      </w:r>
    </w:p>
    <w:p>
      <w:pPr>
        <w:pStyle w:val="Tracker"/>
      </w:pPr>
      <w:r>
        <w:t xml:space="preserve">THE PILOT</w:t>
      </w:r>
    </w:p>
    <w:p>
      <w:pPr>
        <w:pStyle w:val="Heading1"/>
      </w:pPr>
      <w:r>
        <w:t xml:space="preserve">The pilot targets 40 weekly users and a third of tasks automated by week 12</w:t>
      </w:r>
    </w:p>
    <w:p>
      <w:pPr>
        <w:pStyle w:val="Figure"/>
      </w:pPr>
      <w:r>
        <w:drawing>
          <wp:inline distT="0" distB="0" distL="0" distR="0">
            <wp:extent cx="5760720" cy="3240486"/>
            <wp:docPr id="5" name="Slide 5" descr="The pilot targets 40 weekly users and a third of tasks automated by week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slide5.png" descr="The pilot targets 40 weekly users and a third of tasks automated by week 1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Pilot planning assumptions for a typical enterprise</w:t>
      </w:r>
    </w:p>
    <w:p>
      <w:pPr>
        <w:pStyle w:val="Notes"/>
      </w:pPr>
      <w:r>
        <w:t xml:space="preserve">Targets are planning assumptions; set your own with the business owner in week one.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Pilot planning assumptions for a typical enterprise — illustrative data</w:t>
      </w:r>
    </w:p>
    <w:p>
      <w:pPr>
        <w:pStyle w:val="Tracker"/>
      </w:pPr>
      <w:r>
        <w:t xml:space="preserve">THE PILOT</w:t>
      </w:r>
    </w:p>
    <w:p>
      <w:pPr>
        <w:pStyle w:val="Heading1"/>
      </w:pPr>
      <w:r>
        <w:t xml:space="preserve">A one-quarter pilot costs about $206k, two-thirds of it the engineer</w:t>
      </w:r>
    </w:p>
    <w:tbl>
      <w:tblPr>
        <w:tblW w:w="9072" w:type="dxa"/>
        <w:tblBorders>
          <w:top w:val="single" w:sz="4" w:space="0" w:color="C9CED4"/>
          <w:bottom w:val="single" w:sz="4" w:space="0" w:color="C9CED4"/>
          <w:insideH w:val="single" w:sz="4" w:space="0" w:color="C9CED4"/>
        </w:tblBorders>
        <w:tblCellMar>
          <w:top w:w="60" w:type="dxa"/>
          <w:bottom w:w="60" w:type="dxa"/>
        </w:tblCellMar>
      </w:tblPr>
      <w:tblGrid>
        <w:gridCol w:w="2225"/>
        <w:gridCol w:w="1712"/>
        <w:gridCol w:w="1712"/>
        <w:gridCol w:w="1712"/>
        <w:gridCol w:w="1712"/>
      </w:tblGrid>
      <w:tr>
        <w:trPr>
          <w:tblHeader/>
        </w:trPr>
        <w:tc>
          <w:tcPr>
            <w:tcW w:w="2225" w:type="dxa"/>
            <w:shd w:val="clear" w:color="auto" w:fill="FBF7F4"/>
          </w:tcPr>
          <w:p>
            <w:pPr>
              <w:pStyle w:val="TableText"/>
            </w:pPr>
            <w:r>
              <w:rPr>
                <w:b/>
              </w:rPr>
              <w:t xml:space="preserve">Item</w:t>
            </w:r>
          </w:p>
        </w:tc>
        <w:tc>
          <w:tcPr>
            <w:tcW w:w="1712" w:type="dxa"/>
            <w:shd w:val="clear" w:color="auto" w:fill="FBF7F4"/>
          </w:tcPr>
          <w:p>
            <w:pPr>
              <w:pStyle w:val="TableText"/>
            </w:pPr>
            <w:r>
              <w:rPr>
                <w:b/>
              </w:rPr>
              <w:t xml:space="preserve">Month 1</w:t>
            </w:r>
          </w:p>
        </w:tc>
        <w:tc>
          <w:tcPr>
            <w:tcW w:w="1712" w:type="dxa"/>
            <w:shd w:val="clear" w:color="auto" w:fill="FBF7F4"/>
          </w:tcPr>
          <w:p>
            <w:pPr>
              <w:pStyle w:val="TableText"/>
            </w:pPr>
            <w:r>
              <w:rPr>
                <w:b/>
              </w:rPr>
              <w:t xml:space="preserve">Month 2</w:t>
            </w:r>
          </w:p>
        </w:tc>
        <w:tc>
          <w:tcPr>
            <w:tcW w:w="1712" w:type="dxa"/>
            <w:shd w:val="clear" w:color="auto" w:fill="FBF7F4"/>
          </w:tcPr>
          <w:p>
            <w:pPr>
              <w:pStyle w:val="TableText"/>
            </w:pPr>
            <w:r>
              <w:rPr>
                <w:b/>
              </w:rPr>
              <w:t xml:space="preserve">Month 3</w:t>
            </w:r>
          </w:p>
        </w:tc>
        <w:tc>
          <w:tcPr>
            <w:tcW w:w="1712" w:type="dxa"/>
            <w:shd w:val="clear" w:color="auto" w:fill="FBF7F4"/>
          </w:tcPr>
          <w:p>
            <w:pPr>
              <w:pStyle w:val="TableText"/>
            </w:pPr>
            <w:r>
              <w:rPr>
                <w:b/>
              </w:rPr>
              <w:t xml:space="preserve">Total</w:t>
            </w:r>
          </w:p>
        </w:tc>
      </w:tr>
      <w:tr>
        <w:tc>
          <w:tcPr>
            <w:tcW w:w="2225" w:type="dxa"/>
          </w:tcPr>
          <w:p>
            <w:pPr>
              <w:pStyle w:val="TableText"/>
            </w:pPr>
            <w:r>
              <w:t xml:space="preserve">Forward Deployed Engineer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$45k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$45k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$45k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$135k</w:t>
            </w:r>
          </w:p>
        </w:tc>
      </w:tr>
      <w:tr>
        <w:tc>
          <w:tcPr>
            <w:tcW w:w="2225" w:type="dxa"/>
          </w:tcPr>
          <w:p>
            <w:pPr>
              <w:pStyle w:val="TableText"/>
            </w:pPr>
            <w:r>
              <w:t xml:space="preserve">Model and platform usage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$8k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$12k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$15k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$35k</w:t>
            </w:r>
          </w:p>
        </w:tc>
      </w:tr>
      <w:tr>
        <w:tc>
          <w:tcPr>
            <w:tcW w:w="2225" w:type="dxa"/>
          </w:tcPr>
          <w:p>
            <w:pPr>
              <w:pStyle w:val="TableText"/>
            </w:pPr>
            <w:r>
              <w:t xml:space="preserve">Business owner time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$6k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$6k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$6k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$18k</w:t>
            </w:r>
          </w:p>
        </w:tc>
      </w:tr>
      <w:tr>
        <w:tc>
          <w:tcPr>
            <w:tcW w:w="2225" w:type="dxa"/>
          </w:tcPr>
          <w:p>
            <w:pPr>
              <w:pStyle w:val="TableText"/>
            </w:pPr>
            <w:r>
              <w:t xml:space="preserve">Evaluation and security review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$10k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$4k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$4k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$18k</w:t>
            </w:r>
          </w:p>
        </w:tc>
      </w:tr>
      <w:tr>
        <w:tc>
          <w:tcPr>
            <w:tcW w:w="2225" w:type="dxa"/>
          </w:tcPr>
          <w:p>
            <w:pPr>
              <w:pStyle w:val="TableText"/>
            </w:pPr>
            <w:r>
              <w:t xml:space="preserve">Total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$69k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$67k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$70k</w:t>
            </w:r>
          </w:p>
        </w:tc>
        <w:tc>
          <w:tcPr>
            <w:tcW w:w="1712" w:type="dxa"/>
          </w:tcPr>
          <w:p>
            <w:pPr>
              <w:pStyle w:val="TableText"/>
            </w:pPr>
            <w:r>
              <w:t xml:space="preserve">$206k</w:t>
            </w:r>
          </w:p>
        </w:tc>
      </w:tr>
    </w:tbl>
    <w:p/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Pilot planning assumptions for a typical enterprise</w:t>
      </w:r>
    </w:p>
    <w:p>
      <w:pPr>
        <w:pStyle w:val="Notes"/>
      </w:pPr>
      <w:r>
        <w:t xml:space="preserve">Planning figures for a typical enterprise; replace with your own rates.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Pilot planning assumptions for a typical enterprise — illustrative data</w:t>
      </w:r>
    </w:p>
    <w:p>
      <w:pPr>
        <w:pStyle w:val="Tracker"/>
      </w:pPr>
      <w:r>
        <w:t xml:space="preserve">WHAT TO DO</w:t>
      </w:r>
    </w:p>
    <w:p>
      <w:pPr>
        <w:pStyle w:val="Heading1"/>
      </w:pPr>
      <w:r>
        <w:t xml:space="preserve">Approve one FDE on your highest-value AI workflow for one quarter</w:t>
      </w:r>
    </w:p>
    <w:p>
      <w:pPr>
        <w:pStyle w:val="Tracker"/>
      </w:pPr>
      <w:r>
        <w:t xml:space="preserve">DECISION REQUESTED</w:t>
      </w:r>
    </w:p>
    <w:p>
      <w:pPr>
        <w:pStyle w:val="BodyText"/>
      </w:pPr>
      <w:r>
        <w:t xml:space="preserve">Approve a one-quarter pilot, about $206k, with one Forward Deployed Engineer on one production workflow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Pick one workflow with a measurable business metric</w:t>
      </w:r>
    </w:p>
    <w:p>
      <w:pPr>
        <w:pStyle w:val="BodyText"/>
      </w:pPr>
      <w:r>
        <w:t xml:space="preserve">Head of AI · Month 1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Assign or hire one engineer with production and AI experience</w:t>
      </w:r>
    </w:p>
    <w:p>
      <w:pPr>
        <w:pStyle w:val="BodyText"/>
      </w:pPr>
      <w:r>
        <w:t xml:space="preserve">CTO · Month 1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Embed the engineer with the team that owns the workflow</w:t>
      </w:r>
    </w:p>
    <w:p>
      <w:pPr>
        <w:pStyle w:val="BodyText"/>
      </w:pPr>
      <w:r>
        <w:t xml:space="preserve">Business owner · Month 1–2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Ship to production and review users and automation weekly</w:t>
      </w:r>
    </w:p>
    <w:p>
      <w:pPr>
        <w:pStyle w:val="BodyText"/>
      </w:pPr>
      <w:r>
        <w:t xml:space="preserve">FDE · Month 2–3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Decide: scale, turn into product, or stop</w:t>
      </w:r>
    </w:p>
    <w:p>
      <w:pPr>
        <w:pStyle w:val="BodyText"/>
      </w:pPr>
      <w:r>
        <w:t xml:space="preserve">Leadership team · End of quarter</w:t>
      </w:r>
    </w:p>
    <w:p>
      <w:pPr>
        <w:pStyle w:val="Notes"/>
      </w:pPr>
      <w:r>
        <w:t xml:space="preserve">Ask for one decision — a one-quarter pilot with a named workflow, budget and metrics.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0B1F3A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Arial" w:hAnsi="Arial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546275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Arial" w:hAnsi="Arial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AC571F"/>
      <w:sz w:val="16"/>
    </w:rPr>
  </w:style>
  <w:style w:type="paragraph" w:customStyle="1" w:styleId="Lead">
    <w:name w:val="Lead"/>
    <w:basedOn w:val="Normal"/>
    <w:qFormat/>
    <w:pPr/>
    <w:rPr>
      <w:i/>
      <w:color w:val="546275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546275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C9CED4"/>
      </w:pBdr>
      <w:ind w:left="200"/>
    </w:pPr>
    <w:rPr>
      <w:color w:val="546275"/>
      <w:sz w:val="19"/>
    </w:rPr>
  </w:style>
  <w:style w:type="character" w:styleId="Hyperlink">
    <w:name w:val="Hyperlink"/>
    <w:rPr>
      <w:color w:val="AC571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hyperlink" Target="https://www.fastcompany.com/91435680/postings-for-this-ai-job-are-up-800" TargetMode="External"/><Relationship Id="rId12" Type="http://schemas.openxmlformats.org/officeDocument/2006/relationships/hyperlink" Target="https://www.paraform.com/blog/forward-deployed-ai-engineer" TargetMode="External"/><Relationship Id="rId13" Type="http://schemas.openxmlformats.org/officeDocument/2006/relationships/image" Target="media/slide2.png"/><Relationship Id="rId14" Type="http://schemas.openxmlformats.org/officeDocument/2006/relationships/hyperlink" Target="https://www.paraform.com/blog/forward-deployed-ai-engineer" TargetMode="External"/><Relationship Id="rId15" Type="http://schemas.openxmlformats.org/officeDocument/2006/relationships/image" Target="media/slide3.png"/><Relationship Id="rId16" Type="http://schemas.openxmlformats.org/officeDocument/2006/relationships/hyperlink" Target="https://www.paraform.com/blog/forward-deployed-ai-engineer" TargetMode="External"/><Relationship Id="rId17" Type="http://schemas.openxmlformats.org/officeDocument/2006/relationships/hyperlink" Target="https://www.paraform.com/blog/forward-deployed-ai-engineer" TargetMode="External"/><Relationship Id="rId18" Type="http://schemas.openxmlformats.org/officeDocument/2006/relationships/image" Target="media/slide4.png"/><Relationship Id="rId19" Type="http://schemas.openxmlformats.org/officeDocument/2006/relationships/image" Target="media/slide5.png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Forward Deployed Engineers turn AI pilots into working products</dc:title>
  <dc:creator>SlideCraft example</dc:creator>
  <dc:language>en</dc:language>
  <dcterms:created xsi:type="dcterms:W3CDTF">2026-01-01T00:00:00Z</dcterms:created>
  <dcterms:modified xsi:type="dcterms:W3CDTF">2026-01-01T00:00:00Z</dcterms:modified>
</cp:coreProperties>
</file>