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Five European cities that make a perfect first trip</w:t>
      </w:r>
    </w:p>
    <w:p>
      <w:pPr>
        <w:pStyle w:val="Source"/>
      </w:pPr>
      <w:r>
        <w:t xml:space="preserve">SlideCraft travel desk</w:t>
      </w:r>
    </w:p>
    <w:p>
      <w:pPr>
        <w:pStyle w:val="Tracker"/>
      </w:pPr>
      <w:r>
        <w:t xml:space="preserve">THE LANDSCAPE</w:t>
      </w:r>
    </w:p>
    <w:p>
      <w:pPr>
        <w:pStyle w:val="Heading1"/>
      </w:pPr>
      <w:r>
        <w:t xml:space="preserve">Prague and Berlin deliver big-city sights at two-thirds of the daily cost of Paris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Prague and Berlin deliver big-city sights at two-thirds of the daily cost of Pari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Prague and Berlin deliver big-city sights at two-thirds of the daily cost of Pari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SlideCraft illustrative travel estimates, 2026</w:t>
      </w:r>
    </w:p>
    <w:p>
      <w:pPr>
        <w:pStyle w:val="Notes"/>
      </w:pPr>
      <w:r>
        <w:t xml:space="preserve">Positions are illustrative judgements from typical budgets and sight density in the historic centres.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illustrative travel estimates, 2026 — illustrative data</w:t>
      </w:r>
    </w:p>
    <w:p>
      <w:pPr>
        <w:pStyle w:val="Tracker"/>
      </w:pPr>
      <w:r>
        <w:t xml:space="preserve">WHICH CITY FOR WHICH TRAVELLER</w:t>
      </w:r>
    </w:p>
    <w:p>
      <w:pPr>
        <w:pStyle w:val="Heading1"/>
      </w:pPr>
      <w:r>
        <w:t xml:space="preserve">Every city wins a different kind of trip — match it to what you love most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Every city wins a different kind of trip — match it to what you love mo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Every city wins a different kind of trip — match it to what you love mos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SlideCraft illustrative travel estimates,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illustrative travel estimates, 2026 — illustrative data</w:t>
      </w:r>
    </w:p>
    <w:p>
      <w:pPr>
        <w:pStyle w:val="Tracker"/>
      </w:pPr>
      <w:r>
        <w:t xml:space="preserve">WHAT IT COSTS</w:t>
      </w:r>
    </w:p>
    <w:p>
      <w:pPr>
        <w:pStyle w:val="Heading1"/>
      </w:pPr>
      <w:r>
        <w:t xml:space="preserve">A day in Paris costs almost twice as much as a day in Prague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A day in Paris costs almost twice as much as a day in Pragu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A day in Paris costs almost twice as much as a day in Pragu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SlideCraft illustrative travel estimates,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illustrative travel estimates, 2026 — illustrative data</w:t>
      </w:r>
    </w:p>
    <w:p>
      <w:pPr>
        <w:pStyle w:val="Tracker"/>
      </w:pPr>
      <w:r>
        <w:t xml:space="preserve">PICK YOURS</w:t>
      </w:r>
    </w:p>
    <w:p>
      <w:pPr>
        <w:pStyle w:val="Heading1"/>
      </w:pPr>
      <w:r>
        <w:t xml:space="preserve">Go in spring or early autumn — every city is at its best, and cheaper, outside July and August</w:t>
      </w:r>
    </w:p>
    <w:tbl>
      <w:tblPr>
        <w:tblW w:w="9072" w:type="dxa"/>
        <w:tblBorders>
          <w:top w:val="single" w:sz="4" w:space="0" w:color="D6CCBC"/>
          <w:bottom w:val="single" w:sz="4" w:space="0" w:color="D6CCBC"/>
          <w:insideH w:val="single" w:sz="4" w:space="0" w:color="D6CCBC"/>
        </w:tblBorders>
        <w:tblCellMar>
          <w:top w:w="60" w:type="dxa"/>
          <w:bottom w:w="60" w:type="dxa"/>
        </w:tblCellMar>
      </w:tblPr>
      <w:tblGrid>
        <w:gridCol w:w="1904"/>
        <w:gridCol w:w="1232"/>
        <w:gridCol w:w="1792"/>
        <w:gridCol w:w="1232"/>
        <w:gridCol w:w="2912"/>
      </w:tblGrid>
      <w:tr>
        <w:trPr>
          <w:tblHeader/>
        </w:trPr>
        <w:tc>
          <w:tcPr>
            <w:tcW w:w="1904" w:type="dxa"/>
            <w:shd w:val="clear" w:color="auto" w:fill="F0EAE0"/>
          </w:tcPr>
          <w:p>
            <w:pPr>
              <w:pStyle w:val="TableText"/>
            </w:pPr>
            <w:r>
              <w:rPr>
                <w:b/>
              </w:rPr>
              <w:t xml:space="preserve">If you love…</w:t>
            </w:r>
          </w:p>
        </w:tc>
        <w:tc>
          <w:tcPr>
            <w:tcW w:w="1232" w:type="dxa"/>
            <w:shd w:val="clear" w:color="auto" w:fill="F0EAE0"/>
          </w:tcPr>
          <w:p>
            <w:pPr>
              <w:pStyle w:val="TableText"/>
            </w:pPr>
            <w:r>
              <w:rPr>
                <w:b/>
              </w:rPr>
              <w:t xml:space="preserve">Go to</w:t>
            </w:r>
          </w:p>
        </w:tc>
        <w:tc>
          <w:tcPr>
            <w:tcW w:w="1792" w:type="dxa"/>
            <w:shd w:val="clear" w:color="auto" w:fill="F0EAE0"/>
          </w:tcPr>
          <w:p>
            <w:pPr>
              <w:pStyle w:val="TableText"/>
            </w:pPr>
            <w:r>
              <w:rPr>
                <w:b/>
              </w:rPr>
              <w:t xml:space="preserve">Best months</w:t>
            </w:r>
          </w:p>
        </w:tc>
        <w:tc>
          <w:tcPr>
            <w:tcW w:w="1232" w:type="dxa"/>
            <w:shd w:val="clear" w:color="auto" w:fill="F0EAE0"/>
          </w:tcPr>
          <w:p>
            <w:pPr>
              <w:pStyle w:val="TableText"/>
            </w:pPr>
            <w:r>
              <w:rPr>
                <w:b/>
              </w:rPr>
              <w:t xml:space="preserve">Daily budget</w:t>
            </w:r>
          </w:p>
        </w:tc>
        <w:tc>
          <w:tcPr>
            <w:tcW w:w="2912" w:type="dxa"/>
            <w:shd w:val="clear" w:color="auto" w:fill="F0EAE0"/>
          </w:tcPr>
          <w:p>
            <w:pPr>
              <w:pStyle w:val="TableText"/>
            </w:pPr>
            <w:r>
              <w:rPr>
                <w:b/>
              </w:rPr>
              <w:t xml:space="preserve">Don't miss</w:t>
            </w:r>
          </w:p>
        </w:tc>
      </w:tr>
      <w:tr>
        <w:tc>
          <w:tcPr>
            <w:tcW w:w="1904" w:type="dxa"/>
          </w:tcPr>
          <w:p>
            <w:pPr>
              <w:pStyle w:val="TableText"/>
            </w:pPr>
            <w:r>
              <w:t xml:space="preserve">History and ruins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Rome</w:t>
            </w:r>
          </w:p>
        </w:tc>
        <w:tc>
          <w:tcPr>
            <w:tcW w:w="1792" w:type="dxa"/>
          </w:tcPr>
          <w:p>
            <w:pPr>
              <w:pStyle w:val="TableText"/>
            </w:pPr>
            <w:r>
              <w:t xml:space="preserve">Apr–May · Sep–Oct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€170</w:t>
            </w:r>
          </w:p>
        </w:tc>
        <w:tc>
          <w:tcPr>
            <w:tcW w:w="2912" w:type="dxa"/>
          </w:tcPr>
          <w:p>
            <w:pPr>
              <w:pStyle w:val="TableText"/>
            </w:pPr>
            <w:r>
              <w:t xml:space="preserve">Colosseum at opening time</w:t>
            </w:r>
          </w:p>
        </w:tc>
      </w:tr>
      <w:tr>
        <w:tc>
          <w:tcPr>
            <w:tcW w:w="1904" w:type="dxa"/>
          </w:tcPr>
          <w:p>
            <w:pPr>
              <w:pStyle w:val="TableText"/>
            </w:pPr>
            <w:r>
              <w:t xml:space="preserve">Art and museums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Paris</w:t>
            </w:r>
          </w:p>
        </w:tc>
        <w:tc>
          <w:tcPr>
            <w:tcW w:w="1792" w:type="dxa"/>
          </w:tcPr>
          <w:p>
            <w:pPr>
              <w:pStyle w:val="TableText"/>
            </w:pPr>
            <w:r>
              <w:t xml:space="preserve">Apr–Jun · Sep–Oct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€210</w:t>
            </w:r>
          </w:p>
        </w:tc>
        <w:tc>
          <w:tcPr>
            <w:tcW w:w="2912" w:type="dxa"/>
          </w:tcPr>
          <w:p>
            <w:pPr>
              <w:pStyle w:val="TableText"/>
            </w:pPr>
            <w:r>
              <w:t xml:space="preserve">Musée d'Orsay on a weekday</w:t>
            </w:r>
          </w:p>
        </w:tc>
      </w:tr>
      <w:tr>
        <w:tc>
          <w:tcPr>
            <w:tcW w:w="1904" w:type="dxa"/>
          </w:tcPr>
          <w:p>
            <w:pPr>
              <w:pStyle w:val="TableText"/>
            </w:pPr>
            <w:r>
              <w:t xml:space="preserve">Sun and food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Barcelona</w:t>
            </w:r>
          </w:p>
        </w:tc>
        <w:tc>
          <w:tcPr>
            <w:tcW w:w="1792" w:type="dxa"/>
          </w:tcPr>
          <w:p>
            <w:pPr>
              <w:pStyle w:val="TableText"/>
            </w:pPr>
            <w:r>
              <w:t xml:space="preserve">May–Jun · Sep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€165</w:t>
            </w:r>
          </w:p>
        </w:tc>
        <w:tc>
          <w:tcPr>
            <w:tcW w:w="2912" w:type="dxa"/>
          </w:tcPr>
          <w:p>
            <w:pPr>
              <w:pStyle w:val="TableText"/>
            </w:pPr>
            <w:r>
              <w:t xml:space="preserve">Sagrada Família and the Boqueria</w:t>
            </w:r>
          </w:p>
        </w:tc>
      </w:tr>
      <w:tr>
        <w:tc>
          <w:tcPr>
            <w:tcW w:w="1904" w:type="dxa"/>
          </w:tcPr>
          <w:p>
            <w:pPr>
              <w:pStyle w:val="TableText"/>
            </w:pPr>
            <w:r>
              <w:t xml:space="preserve">Culture and nightlife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Berlin</w:t>
            </w:r>
          </w:p>
        </w:tc>
        <w:tc>
          <w:tcPr>
            <w:tcW w:w="1792" w:type="dxa"/>
          </w:tcPr>
          <w:p>
            <w:pPr>
              <w:pStyle w:val="TableText"/>
            </w:pPr>
            <w:r>
              <w:t xml:space="preserve">May–Sep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€150</w:t>
            </w:r>
          </w:p>
        </w:tc>
        <w:tc>
          <w:tcPr>
            <w:tcW w:w="2912" w:type="dxa"/>
          </w:tcPr>
          <w:p>
            <w:pPr>
              <w:pStyle w:val="TableText"/>
            </w:pPr>
            <w:r>
              <w:t xml:space="preserve">Museum Island and a Kreuzberg evening</w:t>
            </w:r>
          </w:p>
        </w:tc>
      </w:tr>
      <w:tr>
        <w:tc>
          <w:tcPr>
            <w:tcW w:w="1904" w:type="dxa"/>
          </w:tcPr>
          <w:p>
            <w:pPr>
              <w:pStyle w:val="TableText"/>
            </w:pPr>
            <w:r>
              <w:t xml:space="preserve">Value and old-town charm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Prague</w:t>
            </w:r>
          </w:p>
        </w:tc>
        <w:tc>
          <w:tcPr>
            <w:tcW w:w="1792" w:type="dxa"/>
          </w:tcPr>
          <w:p>
            <w:pPr>
              <w:pStyle w:val="TableText"/>
            </w:pPr>
            <w:r>
              <w:t xml:space="preserve">Apr–Jun · Sep–Oct</w:t>
            </w:r>
          </w:p>
        </w:tc>
        <w:tc>
          <w:tcPr>
            <w:tcW w:w="1232" w:type="dxa"/>
          </w:tcPr>
          <w:p>
            <w:pPr>
              <w:pStyle w:val="TableText"/>
            </w:pPr>
            <w:r>
              <w:t xml:space="preserve">€115</w:t>
            </w:r>
          </w:p>
        </w:tc>
        <w:tc>
          <w:tcPr>
            <w:tcW w:w="2912" w:type="dxa"/>
          </w:tcPr>
          <w:p>
            <w:pPr>
              <w:pStyle w:val="TableText"/>
            </w:pPr>
            <w:r>
              <w:t xml:space="preserve">Charles Bridge at sunrise</w:t>
            </w:r>
          </w:p>
        </w:tc>
      </w:tr>
    </w:tbl>
    <w:p/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SlideCraft illustrative travel estimates,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SlideCraft illustrative travel estimates, 2026 — illustrative data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221E1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Georgia" w:hAnsi="Georgia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625A50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Georgia" w:hAnsi="Georgia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B4492B"/>
      <w:sz w:val="16"/>
    </w:rPr>
  </w:style>
  <w:style w:type="paragraph" w:customStyle="1" w:styleId="Lead">
    <w:name w:val="Lead"/>
    <w:basedOn w:val="Normal"/>
    <w:qFormat/>
    <w:pPr/>
    <w:rPr>
      <w:i/>
      <w:color w:val="625A50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625A50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D6CCBC"/>
      </w:pBdr>
      <w:ind w:left="200"/>
    </w:pPr>
    <w:rPr>
      <w:color w:val="625A50"/>
      <w:sz w:val="19"/>
    </w:rPr>
  </w:style>
  <w:style w:type="character" w:styleId="Hyperlink">
    <w:name w:val="Hyperlink"/>
    <w:rPr>
      <w:color w:val="B4492B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image" Target="media/slide3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Five European cities that make a perfect first trip</dc:title>
  <dc:creator>SlideCraft travel desk</dc:creator>
  <dc:language>en</dc:language>
  <dcterms:created xsi:type="dcterms:W3CDTF">2026-01-01T00:00:00Z</dcterms:created>
  <dcterms:modified xsi:type="dcterms:W3CDTF">2026-01-01T00:00:00Z</dcterms:modified>
</cp:coreProperties>
</file>